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A17C" w14:textId="77777777" w:rsidR="00A56F67" w:rsidRDefault="00A56F67" w:rsidP="00B15FBA">
      <w:pPr>
        <w:rPr>
          <w:b/>
          <w:bCs/>
          <w:sz w:val="24"/>
          <w:szCs w:val="28"/>
        </w:rPr>
      </w:pPr>
    </w:p>
    <w:p w14:paraId="16A16E6F" w14:textId="767F589E" w:rsidR="008320CC" w:rsidRPr="004F55F2" w:rsidRDefault="008320CC" w:rsidP="00B15FBA">
      <w:pPr>
        <w:rPr>
          <w:b/>
          <w:bCs/>
          <w:sz w:val="24"/>
          <w:szCs w:val="28"/>
        </w:rPr>
      </w:pPr>
      <w:r w:rsidRPr="004F55F2">
        <w:rPr>
          <w:b/>
          <w:bCs/>
          <w:sz w:val="24"/>
          <w:szCs w:val="28"/>
        </w:rPr>
        <w:t xml:space="preserve">Instructions </w:t>
      </w:r>
    </w:p>
    <w:p w14:paraId="4A164787" w14:textId="47984B1B" w:rsidR="008320CC" w:rsidRDefault="008320CC" w:rsidP="00B15FBA">
      <w:r w:rsidRPr="0064513C">
        <w:t xml:space="preserve">Please read the ADTB How to Apply and Conditions of Use and sign at the </w:t>
      </w:r>
      <w:r w:rsidR="009B0FBA">
        <w:t>end</w:t>
      </w:r>
      <w:r w:rsidRPr="0064513C">
        <w:t xml:space="preserve"> of the document</w:t>
      </w:r>
      <w:r>
        <w:t xml:space="preserve"> to indicate your acceptance of the terms.</w:t>
      </w:r>
      <w:r w:rsidR="001A4A85">
        <w:t xml:space="preserve"> </w:t>
      </w:r>
      <w:r w:rsidR="001A4A85" w:rsidRPr="0064513C">
        <w:t xml:space="preserve">Please </w:t>
      </w:r>
      <w:r w:rsidR="00BD0A3D">
        <w:t xml:space="preserve">direct any </w:t>
      </w:r>
      <w:r w:rsidR="001A4A85" w:rsidRPr="0064513C">
        <w:t xml:space="preserve">issues </w:t>
      </w:r>
      <w:r w:rsidR="002A516A">
        <w:t>or queries</w:t>
      </w:r>
      <w:r w:rsidR="002A516A" w:rsidRPr="0064513C">
        <w:t xml:space="preserve"> </w:t>
      </w:r>
      <w:r w:rsidR="00BD0A3D">
        <w:t xml:space="preserve">to us </w:t>
      </w:r>
      <w:r w:rsidR="002A516A">
        <w:t xml:space="preserve">prior to signature by </w:t>
      </w:r>
      <w:r w:rsidR="00265056">
        <w:t xml:space="preserve">contacting </w:t>
      </w:r>
      <w:hyperlink r:id="rId11" w:history="1">
        <w:r w:rsidR="009E009F" w:rsidRPr="00F05AE2">
          <w:rPr>
            <w:rStyle w:val="Hyperlink"/>
          </w:rPr>
          <w:t>adtb@austin.org.au</w:t>
        </w:r>
      </w:hyperlink>
      <w:r w:rsidR="001A4A85" w:rsidRPr="0064513C">
        <w:t>.</w:t>
      </w:r>
    </w:p>
    <w:p w14:paraId="15CF8216" w14:textId="77777777" w:rsidR="00B72EB2" w:rsidRDefault="00B72EB2" w:rsidP="00B15FBA"/>
    <w:p w14:paraId="24E45A53" w14:textId="77777777" w:rsidR="00A56F67" w:rsidRDefault="00A56F67" w:rsidP="00B15FBA"/>
    <w:p w14:paraId="3BAF2DA7" w14:textId="77777777" w:rsidR="00B72EB2" w:rsidRDefault="00B72EB2" w:rsidP="00B15FBA"/>
    <w:p w14:paraId="17B5B055" w14:textId="7DE929E0" w:rsidR="00B72EB2" w:rsidRPr="004F55F2" w:rsidRDefault="00B72EB2" w:rsidP="00B72EB2">
      <w:pPr>
        <w:rPr>
          <w:b/>
          <w:bCs/>
          <w:sz w:val="24"/>
          <w:szCs w:val="28"/>
        </w:rPr>
      </w:pPr>
      <w:r>
        <w:rPr>
          <w:b/>
          <w:bCs/>
          <w:sz w:val="24"/>
          <w:szCs w:val="28"/>
        </w:rPr>
        <w:t>Table of Contents</w:t>
      </w:r>
    </w:p>
    <w:p w14:paraId="110B0ACE" w14:textId="5FC6BCA6" w:rsidR="00B72EB2" w:rsidRDefault="00B72EB2">
      <w:pPr>
        <w:pStyle w:val="TOC1"/>
        <w:tabs>
          <w:tab w:val="left" w:pos="440"/>
          <w:tab w:val="right" w:leader="dot" w:pos="9016"/>
        </w:tabs>
        <w:rPr>
          <w:rFonts w:asciiTheme="minorHAnsi" w:eastAsiaTheme="minorEastAsia" w:hAnsiTheme="minorHAnsi" w:cstheme="minorBidi"/>
          <w:bCs w:val="0"/>
          <w:iCs w:val="0"/>
          <w:noProof/>
          <w:kern w:val="2"/>
          <w:sz w:val="24"/>
          <w:lang w:eastAsia="zh-CN"/>
          <w14:ligatures w14:val="standardContextual"/>
        </w:rPr>
      </w:pPr>
      <w:r>
        <w:fldChar w:fldCharType="begin"/>
      </w:r>
      <w:r>
        <w:instrText xml:space="preserve"> TOC \o "1-1" \h \z \u </w:instrText>
      </w:r>
      <w:r>
        <w:fldChar w:fldCharType="separate"/>
      </w:r>
      <w:hyperlink w:anchor="_Toc195106178" w:history="1">
        <w:r w:rsidRPr="004C5882">
          <w:rPr>
            <w:rStyle w:val="Hyperlink"/>
            <w:noProof/>
          </w:rPr>
          <w:t>1</w:t>
        </w:r>
        <w:r>
          <w:rPr>
            <w:rFonts w:asciiTheme="minorHAnsi" w:eastAsiaTheme="minorEastAsia" w:hAnsiTheme="minorHAnsi" w:cstheme="minorBidi"/>
            <w:bCs w:val="0"/>
            <w:iCs w:val="0"/>
            <w:noProof/>
            <w:kern w:val="2"/>
            <w:sz w:val="24"/>
            <w:lang w:eastAsia="zh-CN"/>
            <w14:ligatures w14:val="standardContextual"/>
          </w:rPr>
          <w:tab/>
        </w:r>
        <w:r w:rsidRPr="004C5882">
          <w:rPr>
            <w:rStyle w:val="Hyperlink"/>
            <w:noProof/>
          </w:rPr>
          <w:t>How To Apply</w:t>
        </w:r>
        <w:r>
          <w:rPr>
            <w:noProof/>
            <w:webHidden/>
          </w:rPr>
          <w:tab/>
        </w:r>
        <w:r>
          <w:rPr>
            <w:noProof/>
            <w:webHidden/>
          </w:rPr>
          <w:fldChar w:fldCharType="begin"/>
        </w:r>
        <w:r>
          <w:rPr>
            <w:noProof/>
            <w:webHidden/>
          </w:rPr>
          <w:instrText xml:space="preserve"> PAGEREF _Toc195106178 \h </w:instrText>
        </w:r>
        <w:r>
          <w:rPr>
            <w:noProof/>
            <w:webHidden/>
          </w:rPr>
        </w:r>
        <w:r>
          <w:rPr>
            <w:noProof/>
            <w:webHidden/>
          </w:rPr>
          <w:fldChar w:fldCharType="separate"/>
        </w:r>
        <w:r>
          <w:rPr>
            <w:noProof/>
            <w:webHidden/>
          </w:rPr>
          <w:t>2</w:t>
        </w:r>
        <w:r>
          <w:rPr>
            <w:noProof/>
            <w:webHidden/>
          </w:rPr>
          <w:fldChar w:fldCharType="end"/>
        </w:r>
      </w:hyperlink>
    </w:p>
    <w:p w14:paraId="6FAA4C23" w14:textId="737C757C" w:rsidR="00B72EB2" w:rsidRDefault="00B72EB2">
      <w:pPr>
        <w:pStyle w:val="TOC1"/>
        <w:tabs>
          <w:tab w:val="left" w:pos="440"/>
          <w:tab w:val="right" w:leader="dot" w:pos="9016"/>
        </w:tabs>
        <w:rPr>
          <w:rFonts w:asciiTheme="minorHAnsi" w:eastAsiaTheme="minorEastAsia" w:hAnsiTheme="minorHAnsi" w:cstheme="minorBidi"/>
          <w:bCs w:val="0"/>
          <w:iCs w:val="0"/>
          <w:noProof/>
          <w:kern w:val="2"/>
          <w:sz w:val="24"/>
          <w:lang w:eastAsia="zh-CN"/>
          <w14:ligatures w14:val="standardContextual"/>
        </w:rPr>
      </w:pPr>
      <w:hyperlink w:anchor="_Toc195106179" w:history="1">
        <w:r w:rsidRPr="004C5882">
          <w:rPr>
            <w:rStyle w:val="Hyperlink"/>
            <w:noProof/>
          </w:rPr>
          <w:t>2</w:t>
        </w:r>
        <w:r>
          <w:rPr>
            <w:rFonts w:asciiTheme="minorHAnsi" w:eastAsiaTheme="minorEastAsia" w:hAnsiTheme="minorHAnsi" w:cstheme="minorBidi"/>
            <w:bCs w:val="0"/>
            <w:iCs w:val="0"/>
            <w:noProof/>
            <w:kern w:val="2"/>
            <w:sz w:val="24"/>
            <w:lang w:eastAsia="zh-CN"/>
            <w14:ligatures w14:val="standardContextual"/>
          </w:rPr>
          <w:tab/>
        </w:r>
        <w:r w:rsidRPr="004C5882">
          <w:rPr>
            <w:rStyle w:val="Hyperlink"/>
            <w:noProof/>
          </w:rPr>
          <w:t>Ethics and Governance</w:t>
        </w:r>
        <w:r>
          <w:rPr>
            <w:noProof/>
            <w:webHidden/>
          </w:rPr>
          <w:tab/>
        </w:r>
        <w:r>
          <w:rPr>
            <w:noProof/>
            <w:webHidden/>
          </w:rPr>
          <w:fldChar w:fldCharType="begin"/>
        </w:r>
        <w:r>
          <w:rPr>
            <w:noProof/>
            <w:webHidden/>
          </w:rPr>
          <w:instrText xml:space="preserve"> PAGEREF _Toc195106179 \h </w:instrText>
        </w:r>
        <w:r>
          <w:rPr>
            <w:noProof/>
            <w:webHidden/>
          </w:rPr>
        </w:r>
        <w:r>
          <w:rPr>
            <w:noProof/>
            <w:webHidden/>
          </w:rPr>
          <w:fldChar w:fldCharType="separate"/>
        </w:r>
        <w:r>
          <w:rPr>
            <w:noProof/>
            <w:webHidden/>
          </w:rPr>
          <w:t>2</w:t>
        </w:r>
        <w:r>
          <w:rPr>
            <w:noProof/>
            <w:webHidden/>
          </w:rPr>
          <w:fldChar w:fldCharType="end"/>
        </w:r>
      </w:hyperlink>
    </w:p>
    <w:p w14:paraId="7337C99B" w14:textId="4CB2BEAB" w:rsidR="00B72EB2" w:rsidRDefault="00B72EB2">
      <w:pPr>
        <w:pStyle w:val="TOC1"/>
        <w:tabs>
          <w:tab w:val="left" w:pos="440"/>
          <w:tab w:val="right" w:leader="dot" w:pos="9016"/>
        </w:tabs>
        <w:rPr>
          <w:rFonts w:asciiTheme="minorHAnsi" w:eastAsiaTheme="minorEastAsia" w:hAnsiTheme="minorHAnsi" w:cstheme="minorBidi"/>
          <w:bCs w:val="0"/>
          <w:iCs w:val="0"/>
          <w:noProof/>
          <w:kern w:val="2"/>
          <w:sz w:val="24"/>
          <w:lang w:eastAsia="zh-CN"/>
          <w14:ligatures w14:val="standardContextual"/>
        </w:rPr>
      </w:pPr>
      <w:hyperlink w:anchor="_Toc195106180" w:history="1">
        <w:r w:rsidRPr="004C5882">
          <w:rPr>
            <w:rStyle w:val="Hyperlink"/>
            <w:noProof/>
          </w:rPr>
          <w:t>3</w:t>
        </w:r>
        <w:r>
          <w:rPr>
            <w:rFonts w:asciiTheme="minorHAnsi" w:eastAsiaTheme="minorEastAsia" w:hAnsiTheme="minorHAnsi" w:cstheme="minorBidi"/>
            <w:bCs w:val="0"/>
            <w:iCs w:val="0"/>
            <w:noProof/>
            <w:kern w:val="2"/>
            <w:sz w:val="24"/>
            <w:lang w:eastAsia="zh-CN"/>
            <w14:ligatures w14:val="standardContextual"/>
          </w:rPr>
          <w:tab/>
        </w:r>
        <w:r w:rsidRPr="004C5882">
          <w:rPr>
            <w:rStyle w:val="Hyperlink"/>
            <w:noProof/>
          </w:rPr>
          <w:t>Review by the Sample Access Committee and Lifeblood</w:t>
        </w:r>
        <w:r>
          <w:rPr>
            <w:noProof/>
            <w:webHidden/>
          </w:rPr>
          <w:tab/>
        </w:r>
        <w:r>
          <w:rPr>
            <w:noProof/>
            <w:webHidden/>
          </w:rPr>
          <w:fldChar w:fldCharType="begin"/>
        </w:r>
        <w:r>
          <w:rPr>
            <w:noProof/>
            <w:webHidden/>
          </w:rPr>
          <w:instrText xml:space="preserve"> PAGEREF _Toc195106180 \h </w:instrText>
        </w:r>
        <w:r>
          <w:rPr>
            <w:noProof/>
            <w:webHidden/>
          </w:rPr>
        </w:r>
        <w:r>
          <w:rPr>
            <w:noProof/>
            <w:webHidden/>
          </w:rPr>
          <w:fldChar w:fldCharType="separate"/>
        </w:r>
        <w:r>
          <w:rPr>
            <w:noProof/>
            <w:webHidden/>
          </w:rPr>
          <w:t>3</w:t>
        </w:r>
        <w:r>
          <w:rPr>
            <w:noProof/>
            <w:webHidden/>
          </w:rPr>
          <w:fldChar w:fldCharType="end"/>
        </w:r>
      </w:hyperlink>
    </w:p>
    <w:p w14:paraId="3E3E38EB" w14:textId="5410BA39" w:rsidR="00B72EB2" w:rsidRDefault="00B72EB2">
      <w:pPr>
        <w:pStyle w:val="TOC1"/>
        <w:tabs>
          <w:tab w:val="left" w:pos="440"/>
          <w:tab w:val="right" w:leader="dot" w:pos="9016"/>
        </w:tabs>
        <w:rPr>
          <w:rFonts w:asciiTheme="minorHAnsi" w:eastAsiaTheme="minorEastAsia" w:hAnsiTheme="minorHAnsi" w:cstheme="minorBidi"/>
          <w:bCs w:val="0"/>
          <w:iCs w:val="0"/>
          <w:noProof/>
          <w:kern w:val="2"/>
          <w:sz w:val="24"/>
          <w:lang w:eastAsia="zh-CN"/>
          <w14:ligatures w14:val="standardContextual"/>
        </w:rPr>
      </w:pPr>
      <w:hyperlink w:anchor="_Toc195106189" w:history="1">
        <w:r w:rsidRPr="004C5882">
          <w:rPr>
            <w:rStyle w:val="Hyperlink"/>
            <w:noProof/>
          </w:rPr>
          <w:t>4</w:t>
        </w:r>
        <w:r>
          <w:rPr>
            <w:rFonts w:asciiTheme="minorHAnsi" w:eastAsiaTheme="minorEastAsia" w:hAnsiTheme="minorHAnsi" w:cstheme="minorBidi"/>
            <w:bCs w:val="0"/>
            <w:iCs w:val="0"/>
            <w:noProof/>
            <w:kern w:val="2"/>
            <w:sz w:val="24"/>
            <w:lang w:eastAsia="zh-CN"/>
            <w14:ligatures w14:val="standardContextual"/>
          </w:rPr>
          <w:tab/>
        </w:r>
        <w:r w:rsidRPr="004C5882">
          <w:rPr>
            <w:rStyle w:val="Hyperlink"/>
            <w:noProof/>
          </w:rPr>
          <w:t>Post-Approval Requirements</w:t>
        </w:r>
        <w:r>
          <w:rPr>
            <w:noProof/>
            <w:webHidden/>
          </w:rPr>
          <w:tab/>
        </w:r>
        <w:r>
          <w:rPr>
            <w:noProof/>
            <w:webHidden/>
          </w:rPr>
          <w:fldChar w:fldCharType="begin"/>
        </w:r>
        <w:r>
          <w:rPr>
            <w:noProof/>
            <w:webHidden/>
          </w:rPr>
          <w:instrText xml:space="preserve"> PAGEREF _Toc195106189 \h </w:instrText>
        </w:r>
        <w:r>
          <w:rPr>
            <w:noProof/>
            <w:webHidden/>
          </w:rPr>
        </w:r>
        <w:r>
          <w:rPr>
            <w:noProof/>
            <w:webHidden/>
          </w:rPr>
          <w:fldChar w:fldCharType="separate"/>
        </w:r>
        <w:r>
          <w:rPr>
            <w:noProof/>
            <w:webHidden/>
          </w:rPr>
          <w:t>4</w:t>
        </w:r>
        <w:r>
          <w:rPr>
            <w:noProof/>
            <w:webHidden/>
          </w:rPr>
          <w:fldChar w:fldCharType="end"/>
        </w:r>
      </w:hyperlink>
    </w:p>
    <w:p w14:paraId="741A61B7" w14:textId="1739E6B0" w:rsidR="00B72EB2" w:rsidRDefault="00B72EB2">
      <w:pPr>
        <w:pStyle w:val="TOC1"/>
        <w:tabs>
          <w:tab w:val="left" w:pos="440"/>
          <w:tab w:val="right" w:leader="dot" w:pos="9016"/>
        </w:tabs>
        <w:rPr>
          <w:rFonts w:asciiTheme="minorHAnsi" w:eastAsiaTheme="minorEastAsia" w:hAnsiTheme="minorHAnsi" w:cstheme="minorBidi"/>
          <w:bCs w:val="0"/>
          <w:iCs w:val="0"/>
          <w:noProof/>
          <w:kern w:val="2"/>
          <w:sz w:val="24"/>
          <w:lang w:eastAsia="zh-CN"/>
          <w14:ligatures w14:val="standardContextual"/>
        </w:rPr>
      </w:pPr>
      <w:hyperlink w:anchor="_Toc195106190" w:history="1">
        <w:r w:rsidRPr="004C5882">
          <w:rPr>
            <w:rStyle w:val="Hyperlink"/>
            <w:noProof/>
          </w:rPr>
          <w:t>5</w:t>
        </w:r>
        <w:r>
          <w:rPr>
            <w:rFonts w:asciiTheme="minorHAnsi" w:eastAsiaTheme="minorEastAsia" w:hAnsiTheme="minorHAnsi" w:cstheme="minorBidi"/>
            <w:bCs w:val="0"/>
            <w:iCs w:val="0"/>
            <w:noProof/>
            <w:kern w:val="2"/>
            <w:sz w:val="24"/>
            <w:lang w:eastAsia="zh-CN"/>
            <w14:ligatures w14:val="standardContextual"/>
          </w:rPr>
          <w:tab/>
        </w:r>
        <w:r w:rsidRPr="004C5882">
          <w:rPr>
            <w:rStyle w:val="Hyperlink"/>
            <w:noProof/>
          </w:rPr>
          <w:t>Data</w:t>
        </w:r>
        <w:r>
          <w:rPr>
            <w:noProof/>
            <w:webHidden/>
          </w:rPr>
          <w:tab/>
        </w:r>
        <w:r>
          <w:rPr>
            <w:noProof/>
            <w:webHidden/>
          </w:rPr>
          <w:fldChar w:fldCharType="begin"/>
        </w:r>
        <w:r>
          <w:rPr>
            <w:noProof/>
            <w:webHidden/>
          </w:rPr>
          <w:instrText xml:space="preserve"> PAGEREF _Toc195106190 \h </w:instrText>
        </w:r>
        <w:r>
          <w:rPr>
            <w:noProof/>
            <w:webHidden/>
          </w:rPr>
        </w:r>
        <w:r>
          <w:rPr>
            <w:noProof/>
            <w:webHidden/>
          </w:rPr>
          <w:fldChar w:fldCharType="separate"/>
        </w:r>
        <w:r>
          <w:rPr>
            <w:noProof/>
            <w:webHidden/>
          </w:rPr>
          <w:t>4</w:t>
        </w:r>
        <w:r>
          <w:rPr>
            <w:noProof/>
            <w:webHidden/>
          </w:rPr>
          <w:fldChar w:fldCharType="end"/>
        </w:r>
      </w:hyperlink>
    </w:p>
    <w:p w14:paraId="33239B39" w14:textId="40514785" w:rsidR="00B72EB2" w:rsidRDefault="00B72EB2">
      <w:pPr>
        <w:pStyle w:val="TOC1"/>
        <w:tabs>
          <w:tab w:val="left" w:pos="440"/>
          <w:tab w:val="right" w:leader="dot" w:pos="9016"/>
        </w:tabs>
        <w:rPr>
          <w:rFonts w:asciiTheme="minorHAnsi" w:eastAsiaTheme="minorEastAsia" w:hAnsiTheme="minorHAnsi" w:cstheme="minorBidi"/>
          <w:bCs w:val="0"/>
          <w:iCs w:val="0"/>
          <w:noProof/>
          <w:kern w:val="2"/>
          <w:sz w:val="24"/>
          <w:lang w:eastAsia="zh-CN"/>
          <w14:ligatures w14:val="standardContextual"/>
        </w:rPr>
      </w:pPr>
      <w:hyperlink w:anchor="_Toc195106191" w:history="1">
        <w:r w:rsidRPr="004C5882">
          <w:rPr>
            <w:rStyle w:val="Hyperlink"/>
            <w:noProof/>
          </w:rPr>
          <w:t>6</w:t>
        </w:r>
        <w:r>
          <w:rPr>
            <w:rFonts w:asciiTheme="minorHAnsi" w:eastAsiaTheme="minorEastAsia" w:hAnsiTheme="minorHAnsi" w:cstheme="minorBidi"/>
            <w:bCs w:val="0"/>
            <w:iCs w:val="0"/>
            <w:noProof/>
            <w:kern w:val="2"/>
            <w:sz w:val="24"/>
            <w:lang w:eastAsia="zh-CN"/>
            <w14:ligatures w14:val="standardContextual"/>
          </w:rPr>
          <w:tab/>
        </w:r>
        <w:r w:rsidRPr="004C5882">
          <w:rPr>
            <w:rStyle w:val="Hyperlink"/>
            <w:noProof/>
          </w:rPr>
          <w:t>Biospecimens</w:t>
        </w:r>
        <w:r>
          <w:rPr>
            <w:noProof/>
            <w:webHidden/>
          </w:rPr>
          <w:tab/>
        </w:r>
        <w:r>
          <w:rPr>
            <w:noProof/>
            <w:webHidden/>
          </w:rPr>
          <w:fldChar w:fldCharType="begin"/>
        </w:r>
        <w:r>
          <w:rPr>
            <w:noProof/>
            <w:webHidden/>
          </w:rPr>
          <w:instrText xml:space="preserve"> PAGEREF _Toc195106191 \h </w:instrText>
        </w:r>
        <w:r>
          <w:rPr>
            <w:noProof/>
            <w:webHidden/>
          </w:rPr>
        </w:r>
        <w:r>
          <w:rPr>
            <w:noProof/>
            <w:webHidden/>
          </w:rPr>
          <w:fldChar w:fldCharType="separate"/>
        </w:r>
        <w:r>
          <w:rPr>
            <w:noProof/>
            <w:webHidden/>
          </w:rPr>
          <w:t>5</w:t>
        </w:r>
        <w:r>
          <w:rPr>
            <w:noProof/>
            <w:webHidden/>
          </w:rPr>
          <w:fldChar w:fldCharType="end"/>
        </w:r>
      </w:hyperlink>
    </w:p>
    <w:p w14:paraId="7806A95A" w14:textId="7CF8D844" w:rsidR="00B72EB2" w:rsidRDefault="00B72EB2">
      <w:pPr>
        <w:pStyle w:val="TOC1"/>
        <w:tabs>
          <w:tab w:val="left" w:pos="440"/>
          <w:tab w:val="right" w:leader="dot" w:pos="9016"/>
        </w:tabs>
        <w:rPr>
          <w:rFonts w:asciiTheme="minorHAnsi" w:eastAsiaTheme="minorEastAsia" w:hAnsiTheme="minorHAnsi" w:cstheme="minorBidi"/>
          <w:bCs w:val="0"/>
          <w:iCs w:val="0"/>
          <w:noProof/>
          <w:kern w:val="2"/>
          <w:sz w:val="24"/>
          <w:lang w:eastAsia="zh-CN"/>
          <w14:ligatures w14:val="standardContextual"/>
        </w:rPr>
      </w:pPr>
      <w:hyperlink w:anchor="_Toc195106192" w:history="1">
        <w:r w:rsidRPr="004C5882">
          <w:rPr>
            <w:rStyle w:val="Hyperlink"/>
            <w:noProof/>
          </w:rPr>
          <w:t>7</w:t>
        </w:r>
        <w:r>
          <w:rPr>
            <w:rFonts w:asciiTheme="minorHAnsi" w:eastAsiaTheme="minorEastAsia" w:hAnsiTheme="minorHAnsi" w:cstheme="minorBidi"/>
            <w:bCs w:val="0"/>
            <w:iCs w:val="0"/>
            <w:noProof/>
            <w:kern w:val="2"/>
            <w:sz w:val="24"/>
            <w:lang w:eastAsia="zh-CN"/>
            <w14:ligatures w14:val="standardContextual"/>
          </w:rPr>
          <w:tab/>
        </w:r>
        <w:r w:rsidRPr="004C5882">
          <w:rPr>
            <w:rStyle w:val="Hyperlink"/>
            <w:noProof/>
          </w:rPr>
          <w:t>Disclaimers</w:t>
        </w:r>
        <w:r>
          <w:rPr>
            <w:noProof/>
            <w:webHidden/>
          </w:rPr>
          <w:tab/>
        </w:r>
        <w:r>
          <w:rPr>
            <w:noProof/>
            <w:webHidden/>
          </w:rPr>
          <w:fldChar w:fldCharType="begin"/>
        </w:r>
        <w:r>
          <w:rPr>
            <w:noProof/>
            <w:webHidden/>
          </w:rPr>
          <w:instrText xml:space="preserve"> PAGEREF _Toc195106192 \h </w:instrText>
        </w:r>
        <w:r>
          <w:rPr>
            <w:noProof/>
            <w:webHidden/>
          </w:rPr>
        </w:r>
        <w:r>
          <w:rPr>
            <w:noProof/>
            <w:webHidden/>
          </w:rPr>
          <w:fldChar w:fldCharType="separate"/>
        </w:r>
        <w:r>
          <w:rPr>
            <w:noProof/>
            <w:webHidden/>
          </w:rPr>
          <w:t>6</w:t>
        </w:r>
        <w:r>
          <w:rPr>
            <w:noProof/>
            <w:webHidden/>
          </w:rPr>
          <w:fldChar w:fldCharType="end"/>
        </w:r>
      </w:hyperlink>
    </w:p>
    <w:p w14:paraId="329BE51F" w14:textId="1D0E8ADA" w:rsidR="00B72EB2" w:rsidRDefault="00B72EB2">
      <w:pPr>
        <w:pStyle w:val="TOC1"/>
        <w:tabs>
          <w:tab w:val="left" w:pos="440"/>
          <w:tab w:val="right" w:leader="dot" w:pos="9016"/>
        </w:tabs>
        <w:rPr>
          <w:rFonts w:asciiTheme="minorHAnsi" w:eastAsiaTheme="minorEastAsia" w:hAnsiTheme="minorHAnsi" w:cstheme="minorBidi"/>
          <w:bCs w:val="0"/>
          <w:iCs w:val="0"/>
          <w:noProof/>
          <w:kern w:val="2"/>
          <w:sz w:val="24"/>
          <w:lang w:eastAsia="zh-CN"/>
          <w14:ligatures w14:val="standardContextual"/>
        </w:rPr>
      </w:pPr>
      <w:hyperlink w:anchor="_Toc195106193" w:history="1">
        <w:r w:rsidRPr="004C5882">
          <w:rPr>
            <w:rStyle w:val="Hyperlink"/>
            <w:noProof/>
          </w:rPr>
          <w:t>8</w:t>
        </w:r>
        <w:r>
          <w:rPr>
            <w:rFonts w:asciiTheme="minorHAnsi" w:eastAsiaTheme="minorEastAsia" w:hAnsiTheme="minorHAnsi" w:cstheme="minorBidi"/>
            <w:bCs w:val="0"/>
            <w:iCs w:val="0"/>
            <w:noProof/>
            <w:kern w:val="2"/>
            <w:sz w:val="24"/>
            <w:lang w:eastAsia="zh-CN"/>
            <w14:ligatures w14:val="standardContextual"/>
          </w:rPr>
          <w:tab/>
        </w:r>
        <w:r w:rsidRPr="004C5882">
          <w:rPr>
            <w:rStyle w:val="Hyperlink"/>
            <w:noProof/>
          </w:rPr>
          <w:t xml:space="preserve">Fees </w:t>
        </w:r>
        <w:r>
          <w:rPr>
            <w:noProof/>
            <w:webHidden/>
          </w:rPr>
          <w:tab/>
        </w:r>
        <w:r>
          <w:rPr>
            <w:noProof/>
            <w:webHidden/>
          </w:rPr>
          <w:fldChar w:fldCharType="begin"/>
        </w:r>
        <w:r>
          <w:rPr>
            <w:noProof/>
            <w:webHidden/>
          </w:rPr>
          <w:instrText xml:space="preserve"> PAGEREF _Toc195106193 \h </w:instrText>
        </w:r>
        <w:r>
          <w:rPr>
            <w:noProof/>
            <w:webHidden/>
          </w:rPr>
        </w:r>
        <w:r>
          <w:rPr>
            <w:noProof/>
            <w:webHidden/>
          </w:rPr>
          <w:fldChar w:fldCharType="separate"/>
        </w:r>
        <w:r>
          <w:rPr>
            <w:noProof/>
            <w:webHidden/>
          </w:rPr>
          <w:t>6</w:t>
        </w:r>
        <w:r>
          <w:rPr>
            <w:noProof/>
            <w:webHidden/>
          </w:rPr>
          <w:fldChar w:fldCharType="end"/>
        </w:r>
      </w:hyperlink>
    </w:p>
    <w:p w14:paraId="21B1A0D1" w14:textId="68660A17" w:rsidR="00B72EB2" w:rsidRDefault="00B72EB2">
      <w:pPr>
        <w:pStyle w:val="TOC1"/>
        <w:tabs>
          <w:tab w:val="left" w:pos="440"/>
          <w:tab w:val="right" w:leader="dot" w:pos="9016"/>
        </w:tabs>
        <w:rPr>
          <w:rFonts w:asciiTheme="minorHAnsi" w:eastAsiaTheme="minorEastAsia" w:hAnsiTheme="minorHAnsi" w:cstheme="minorBidi"/>
          <w:bCs w:val="0"/>
          <w:iCs w:val="0"/>
          <w:noProof/>
          <w:kern w:val="2"/>
          <w:sz w:val="24"/>
          <w:lang w:eastAsia="zh-CN"/>
          <w14:ligatures w14:val="standardContextual"/>
        </w:rPr>
      </w:pPr>
      <w:hyperlink w:anchor="_Toc195106194" w:history="1">
        <w:r w:rsidRPr="004C5882">
          <w:rPr>
            <w:rStyle w:val="Hyperlink"/>
            <w:noProof/>
          </w:rPr>
          <w:t>9</w:t>
        </w:r>
        <w:r>
          <w:rPr>
            <w:rFonts w:asciiTheme="minorHAnsi" w:eastAsiaTheme="minorEastAsia" w:hAnsiTheme="minorHAnsi" w:cstheme="minorBidi"/>
            <w:bCs w:val="0"/>
            <w:iCs w:val="0"/>
            <w:noProof/>
            <w:kern w:val="2"/>
            <w:sz w:val="24"/>
            <w:lang w:eastAsia="zh-CN"/>
            <w14:ligatures w14:val="standardContextual"/>
          </w:rPr>
          <w:tab/>
        </w:r>
        <w:r w:rsidRPr="004C5882">
          <w:rPr>
            <w:rStyle w:val="Hyperlink"/>
            <w:noProof/>
          </w:rPr>
          <w:t>Payment</w:t>
        </w:r>
        <w:r>
          <w:rPr>
            <w:noProof/>
            <w:webHidden/>
          </w:rPr>
          <w:tab/>
        </w:r>
        <w:r>
          <w:rPr>
            <w:noProof/>
            <w:webHidden/>
          </w:rPr>
          <w:fldChar w:fldCharType="begin"/>
        </w:r>
        <w:r>
          <w:rPr>
            <w:noProof/>
            <w:webHidden/>
          </w:rPr>
          <w:instrText xml:space="preserve"> PAGEREF _Toc195106194 \h </w:instrText>
        </w:r>
        <w:r>
          <w:rPr>
            <w:noProof/>
            <w:webHidden/>
          </w:rPr>
        </w:r>
        <w:r>
          <w:rPr>
            <w:noProof/>
            <w:webHidden/>
          </w:rPr>
          <w:fldChar w:fldCharType="separate"/>
        </w:r>
        <w:r>
          <w:rPr>
            <w:noProof/>
            <w:webHidden/>
          </w:rPr>
          <w:t>6</w:t>
        </w:r>
        <w:r>
          <w:rPr>
            <w:noProof/>
            <w:webHidden/>
          </w:rPr>
          <w:fldChar w:fldCharType="end"/>
        </w:r>
      </w:hyperlink>
    </w:p>
    <w:p w14:paraId="36734180" w14:textId="71947E86" w:rsidR="00B72EB2" w:rsidRDefault="00B72EB2">
      <w:pPr>
        <w:pStyle w:val="TOC1"/>
        <w:tabs>
          <w:tab w:val="left" w:pos="660"/>
          <w:tab w:val="right" w:leader="dot" w:pos="9016"/>
        </w:tabs>
        <w:rPr>
          <w:rFonts w:asciiTheme="minorHAnsi" w:eastAsiaTheme="minorEastAsia" w:hAnsiTheme="minorHAnsi" w:cstheme="minorBidi"/>
          <w:bCs w:val="0"/>
          <w:iCs w:val="0"/>
          <w:noProof/>
          <w:kern w:val="2"/>
          <w:sz w:val="24"/>
          <w:lang w:eastAsia="zh-CN"/>
          <w14:ligatures w14:val="standardContextual"/>
        </w:rPr>
      </w:pPr>
      <w:hyperlink w:anchor="_Toc195106195" w:history="1">
        <w:r w:rsidRPr="004C5882">
          <w:rPr>
            <w:rStyle w:val="Hyperlink"/>
            <w:noProof/>
          </w:rPr>
          <w:t>10</w:t>
        </w:r>
        <w:r w:rsidR="0079235F">
          <w:rPr>
            <w:rFonts w:asciiTheme="minorHAnsi" w:eastAsiaTheme="minorEastAsia" w:hAnsiTheme="minorHAnsi" w:cstheme="minorBidi"/>
            <w:bCs w:val="0"/>
            <w:iCs w:val="0"/>
            <w:noProof/>
            <w:kern w:val="2"/>
            <w:sz w:val="24"/>
            <w:lang w:eastAsia="zh-CN"/>
            <w14:ligatures w14:val="standardContextual"/>
          </w:rPr>
          <w:t xml:space="preserve">    </w:t>
        </w:r>
        <w:r w:rsidRPr="004C5882">
          <w:rPr>
            <w:rStyle w:val="Hyperlink"/>
            <w:noProof/>
          </w:rPr>
          <w:t>Principal Investigator Declaration</w:t>
        </w:r>
        <w:r>
          <w:rPr>
            <w:noProof/>
            <w:webHidden/>
          </w:rPr>
          <w:tab/>
        </w:r>
        <w:r>
          <w:rPr>
            <w:noProof/>
            <w:webHidden/>
          </w:rPr>
          <w:fldChar w:fldCharType="begin"/>
        </w:r>
        <w:r>
          <w:rPr>
            <w:noProof/>
            <w:webHidden/>
          </w:rPr>
          <w:instrText xml:space="preserve"> PAGEREF _Toc195106195 \h </w:instrText>
        </w:r>
        <w:r>
          <w:rPr>
            <w:noProof/>
            <w:webHidden/>
          </w:rPr>
        </w:r>
        <w:r>
          <w:rPr>
            <w:noProof/>
            <w:webHidden/>
          </w:rPr>
          <w:fldChar w:fldCharType="separate"/>
        </w:r>
        <w:r>
          <w:rPr>
            <w:noProof/>
            <w:webHidden/>
          </w:rPr>
          <w:t>6</w:t>
        </w:r>
        <w:r>
          <w:rPr>
            <w:noProof/>
            <w:webHidden/>
          </w:rPr>
          <w:fldChar w:fldCharType="end"/>
        </w:r>
      </w:hyperlink>
    </w:p>
    <w:p w14:paraId="35629B49" w14:textId="7E3183D8" w:rsidR="00287A52" w:rsidRDefault="00B72EB2" w:rsidP="00B15FBA">
      <w:pPr>
        <w:sectPr w:rsidR="00287A52" w:rsidSect="00B72EB2">
          <w:headerReference w:type="default" r:id="rId12"/>
          <w:footerReference w:type="default" r:id="rId13"/>
          <w:pgSz w:w="11906" w:h="16838"/>
          <w:pgMar w:top="1440" w:right="1440" w:bottom="1440" w:left="1440" w:header="397" w:footer="708" w:gutter="0"/>
          <w:cols w:space="708"/>
          <w:docGrid w:linePitch="360"/>
        </w:sectPr>
      </w:pPr>
      <w:r>
        <w:fldChar w:fldCharType="end"/>
      </w:r>
    </w:p>
    <w:p w14:paraId="11652241" w14:textId="166056E8" w:rsidR="00892568" w:rsidRPr="007F036B" w:rsidRDefault="004830F9" w:rsidP="00B15FBA">
      <w:pPr>
        <w:pStyle w:val="Heading1"/>
      </w:pPr>
      <w:bookmarkStart w:id="0" w:name="_Toc195106178"/>
      <w:r w:rsidRPr="007F036B">
        <w:lastRenderedPageBreak/>
        <w:t>How To Apply</w:t>
      </w:r>
      <w:bookmarkEnd w:id="0"/>
      <w:r w:rsidRPr="007F036B">
        <w:t xml:space="preserve"> </w:t>
      </w:r>
    </w:p>
    <w:p w14:paraId="78BE14AB" w14:textId="6958BB7A" w:rsidR="00892568" w:rsidRPr="00A05D6F" w:rsidRDefault="004830F9" w:rsidP="00F2638E">
      <w:pPr>
        <w:pStyle w:val="Heading2"/>
      </w:pPr>
      <w:r w:rsidRPr="0051291D">
        <w:t>The</w:t>
      </w:r>
      <w:r w:rsidRPr="00A05D6F">
        <w:t xml:space="preserve"> </w:t>
      </w:r>
      <w:r w:rsidR="2ACB228B" w:rsidRPr="00A05D6F">
        <w:t xml:space="preserve">Australian Donation and Transplant Biobank </w:t>
      </w:r>
      <w:r w:rsidR="64FDA00A" w:rsidRPr="00A05D6F">
        <w:t>(ADTB)</w:t>
      </w:r>
      <w:r w:rsidR="622DD069" w:rsidRPr="00A05D6F">
        <w:t xml:space="preserve"> is an investigator</w:t>
      </w:r>
      <w:r w:rsidR="69CC66C0" w:rsidRPr="00A05D6F">
        <w:t>-</w:t>
      </w:r>
      <w:r w:rsidR="622DD069" w:rsidRPr="00A05D6F">
        <w:t xml:space="preserve">led </w:t>
      </w:r>
      <w:r w:rsidR="64FDA00A" w:rsidRPr="00A05D6F">
        <w:t>open-access platform that is</w:t>
      </w:r>
      <w:r w:rsidRPr="00A05D6F">
        <w:t xml:space="preserve"> available to all researchers who have Human Research Ethics Committee (or equivalent) approval for their </w:t>
      </w:r>
      <w:r w:rsidR="006F20A0" w:rsidRPr="00A05D6F">
        <w:t>research project</w:t>
      </w:r>
      <w:r w:rsidRPr="00A05D6F">
        <w:t xml:space="preserve">. </w:t>
      </w:r>
    </w:p>
    <w:p w14:paraId="519FA0D5" w14:textId="6054D1F4" w:rsidR="00B73CA9" w:rsidRPr="00B73CA9" w:rsidRDefault="00B73CA9" w:rsidP="00F2638E">
      <w:pPr>
        <w:pStyle w:val="Heading2"/>
      </w:pPr>
      <w:r w:rsidRPr="00B73CA9">
        <w:t>Researchers who wish to access donor organs</w:t>
      </w:r>
      <w:r w:rsidR="00033087">
        <w:t xml:space="preserve"> and </w:t>
      </w:r>
      <w:r w:rsidRPr="00B73CA9">
        <w:t xml:space="preserve">samples through </w:t>
      </w:r>
      <w:r w:rsidR="004E4171">
        <w:t>the</w:t>
      </w:r>
      <w:r w:rsidR="00E81B8C">
        <w:t xml:space="preserve"> </w:t>
      </w:r>
      <w:r w:rsidRPr="00B73CA9">
        <w:t>ADTB must submit the following documents for review:</w:t>
      </w:r>
    </w:p>
    <w:p w14:paraId="73E9DD0C" w14:textId="6E3815EF" w:rsidR="00B73CA9" w:rsidRPr="00B73CA9" w:rsidRDefault="00B73CA9" w:rsidP="00F2638E">
      <w:pPr>
        <w:pStyle w:val="ListParagraph"/>
        <w:numPr>
          <w:ilvl w:val="0"/>
          <w:numId w:val="6"/>
        </w:numPr>
      </w:pPr>
      <w:r w:rsidRPr="00B73CA9">
        <w:t>ADTB Sample Access Form for research project</w:t>
      </w:r>
    </w:p>
    <w:p w14:paraId="6DD2151C" w14:textId="42FDC8B9" w:rsidR="00B73CA9" w:rsidRPr="00B73CA9" w:rsidRDefault="00B73CA9" w:rsidP="00F2638E">
      <w:pPr>
        <w:pStyle w:val="ListParagraph"/>
        <w:numPr>
          <w:ilvl w:val="0"/>
          <w:numId w:val="6"/>
        </w:numPr>
      </w:pPr>
      <w:r w:rsidRPr="00B73CA9">
        <w:t>Ethics approval letter</w:t>
      </w:r>
      <w:r w:rsidR="00CE6BD1">
        <w:t>(s)</w:t>
      </w:r>
      <w:r w:rsidR="008B50F4">
        <w:t xml:space="preserve"> or exemption</w:t>
      </w:r>
      <w:r w:rsidRPr="00B73CA9">
        <w:t xml:space="preserve"> for research project</w:t>
      </w:r>
    </w:p>
    <w:p w14:paraId="2F80C7D6" w14:textId="77777777" w:rsidR="00B73CA9" w:rsidRDefault="00B73CA9" w:rsidP="00B15FBA">
      <w:pPr>
        <w:pStyle w:val="ListParagraph"/>
        <w:numPr>
          <w:ilvl w:val="0"/>
          <w:numId w:val="6"/>
        </w:numPr>
      </w:pPr>
      <w:r w:rsidRPr="00B73CA9">
        <w:t>Approved human research ethics application for project</w:t>
      </w:r>
    </w:p>
    <w:p w14:paraId="07AEB41B" w14:textId="0998B7FC" w:rsidR="007F0002" w:rsidRPr="00B73CA9" w:rsidRDefault="007F0002" w:rsidP="00F2638E">
      <w:pPr>
        <w:pStyle w:val="ListParagraph"/>
        <w:numPr>
          <w:ilvl w:val="0"/>
          <w:numId w:val="6"/>
        </w:numPr>
      </w:pPr>
      <w:r>
        <w:t>Approved animal research ethics application, if applicable</w:t>
      </w:r>
    </w:p>
    <w:p w14:paraId="7A7F2F89" w14:textId="77777777" w:rsidR="00B73CA9" w:rsidRPr="00B73CA9" w:rsidRDefault="00B73CA9" w:rsidP="00F2638E">
      <w:pPr>
        <w:pStyle w:val="ListParagraph"/>
        <w:numPr>
          <w:ilvl w:val="0"/>
          <w:numId w:val="6"/>
        </w:numPr>
      </w:pPr>
      <w:r w:rsidRPr="00B73CA9">
        <w:t>Amendment requests and approvals, if applicable</w:t>
      </w:r>
    </w:p>
    <w:p w14:paraId="7C4F8FF4" w14:textId="5E87E32D" w:rsidR="00B73CA9" w:rsidRPr="00B73CA9" w:rsidRDefault="00B73CA9" w:rsidP="00F2638E">
      <w:pPr>
        <w:pStyle w:val="ListParagraph"/>
        <w:numPr>
          <w:ilvl w:val="0"/>
          <w:numId w:val="6"/>
        </w:numPr>
      </w:pPr>
      <w:r w:rsidRPr="00B73CA9">
        <w:t xml:space="preserve">Researcher’s </w:t>
      </w:r>
      <w:r w:rsidR="00FA603A">
        <w:t>curriculum vitae (</w:t>
      </w:r>
      <w:r w:rsidRPr="00B73CA9">
        <w:t>CV</w:t>
      </w:r>
      <w:r w:rsidR="00FA603A">
        <w:t>)</w:t>
      </w:r>
    </w:p>
    <w:p w14:paraId="13528725" w14:textId="77777777" w:rsidR="00B73CA9" w:rsidRPr="00B73CA9" w:rsidRDefault="00B73CA9" w:rsidP="00F2638E">
      <w:pPr>
        <w:pStyle w:val="ListParagraph"/>
        <w:numPr>
          <w:ilvl w:val="0"/>
          <w:numId w:val="6"/>
        </w:numPr>
      </w:pPr>
      <w:r w:rsidRPr="00B73CA9">
        <w:t>Current research protocol listed on approval letter</w:t>
      </w:r>
    </w:p>
    <w:p w14:paraId="60174186" w14:textId="77777777" w:rsidR="00B73CA9" w:rsidRPr="00B73CA9" w:rsidRDefault="00B73CA9" w:rsidP="00F2638E">
      <w:pPr>
        <w:pStyle w:val="ListParagraph"/>
        <w:numPr>
          <w:ilvl w:val="0"/>
          <w:numId w:val="6"/>
        </w:numPr>
      </w:pPr>
      <w:r w:rsidRPr="00B73CA9">
        <w:t>Material Transfer Agreement</w:t>
      </w:r>
    </w:p>
    <w:p w14:paraId="3C108B18" w14:textId="07276CFA" w:rsidR="00FA603A" w:rsidRDefault="00FA603A" w:rsidP="00765753">
      <w:pPr>
        <w:pStyle w:val="Heading2"/>
      </w:pPr>
      <w:r>
        <w:t>The named Principal Investigator (PI) is ultimately responsible for the application and adherence to the Conditions of Use.</w:t>
      </w:r>
    </w:p>
    <w:p w14:paraId="24DC8F3A" w14:textId="310765A4" w:rsidR="00892568" w:rsidRPr="0064513C" w:rsidRDefault="00B73CA9" w:rsidP="00F2638E">
      <w:pPr>
        <w:pStyle w:val="Heading2"/>
      </w:pPr>
      <w:r>
        <w:t xml:space="preserve">Application documents </w:t>
      </w:r>
      <w:r w:rsidR="16CC6C7B" w:rsidRPr="0064513C">
        <w:t xml:space="preserve">can be </w:t>
      </w:r>
      <w:r>
        <w:t>submitted</w:t>
      </w:r>
      <w:r w:rsidRPr="0064513C">
        <w:t xml:space="preserve"> </w:t>
      </w:r>
      <w:r w:rsidR="16CC6C7B" w:rsidRPr="0064513C">
        <w:t>to adtb@austin.org.au</w:t>
      </w:r>
      <w:r w:rsidR="000055DC">
        <w:t>.</w:t>
      </w:r>
      <w:r w:rsidR="16CC6C7B" w:rsidRPr="0064513C">
        <w:t xml:space="preserve"> </w:t>
      </w:r>
    </w:p>
    <w:p w14:paraId="26F84B60" w14:textId="12AD88DB" w:rsidR="000055DC" w:rsidRDefault="00B73CA9" w:rsidP="00F2638E">
      <w:pPr>
        <w:pStyle w:val="Heading2"/>
      </w:pPr>
      <w:r>
        <w:t>R</w:t>
      </w:r>
      <w:r w:rsidR="004830F9" w:rsidRPr="0064513C">
        <w:t>esearchers are encouraged to</w:t>
      </w:r>
      <w:r w:rsidR="00543099">
        <w:t xml:space="preserve"> discuss the </w:t>
      </w:r>
      <w:r w:rsidR="00543099" w:rsidRPr="0064513C">
        <w:t>availability of data and biospecimens</w:t>
      </w:r>
      <w:r w:rsidR="004830F9" w:rsidRPr="0064513C">
        <w:t xml:space="preserve"> </w:t>
      </w:r>
      <w:r w:rsidR="00543099">
        <w:t>with</w:t>
      </w:r>
      <w:r>
        <w:t xml:space="preserve"> ADTB prior to submitting </w:t>
      </w:r>
      <w:r w:rsidR="00321AC5">
        <w:t xml:space="preserve">a </w:t>
      </w:r>
      <w:r w:rsidR="0039500C">
        <w:t xml:space="preserve">research ethics </w:t>
      </w:r>
      <w:r w:rsidR="00321AC5">
        <w:t>application or a</w:t>
      </w:r>
      <w:r w:rsidR="00C85A96">
        <w:t>n ADTB</w:t>
      </w:r>
      <w:r w:rsidR="00321AC5">
        <w:t xml:space="preserve"> </w:t>
      </w:r>
      <w:r w:rsidR="006270BB">
        <w:t>S</w:t>
      </w:r>
      <w:r w:rsidR="00321AC5">
        <w:t xml:space="preserve">ample </w:t>
      </w:r>
      <w:r w:rsidR="006270BB">
        <w:t>A</w:t>
      </w:r>
      <w:r w:rsidR="00321AC5">
        <w:t xml:space="preserve">ccess </w:t>
      </w:r>
      <w:r w:rsidR="006270BB">
        <w:t>Form</w:t>
      </w:r>
      <w:r w:rsidR="00321AC5">
        <w:t xml:space="preserve">. </w:t>
      </w:r>
      <w:r w:rsidR="0039500C">
        <w:t xml:space="preserve">ADTB can be contacted at </w:t>
      </w:r>
      <w:r w:rsidR="0039500C" w:rsidRPr="0064513C">
        <w:t>adtb@austin.org.au</w:t>
      </w:r>
      <w:r w:rsidR="0039500C">
        <w:t>.</w:t>
      </w:r>
    </w:p>
    <w:p w14:paraId="7B9CBAB3" w14:textId="7C1442E7" w:rsidR="00F15215" w:rsidRDefault="000055DC" w:rsidP="00F2638E">
      <w:pPr>
        <w:pStyle w:val="Heading2"/>
      </w:pPr>
      <w:r>
        <w:t>Researchers must submit a separate application for each individual research project.</w:t>
      </w:r>
    </w:p>
    <w:p w14:paraId="7692076B" w14:textId="00F3D4E0" w:rsidR="00F15215" w:rsidRDefault="001309FA" w:rsidP="00F2638E">
      <w:pPr>
        <w:pStyle w:val="NoSpacing"/>
        <w:spacing w:after="120"/>
        <w:jc w:val="both"/>
        <w:rPr>
          <w:rFonts w:cs="Arial"/>
        </w:rPr>
      </w:pPr>
      <w:r>
        <w:rPr>
          <w:noProof/>
        </w:rPr>
        <w:pict w14:anchorId="7981BB1A">
          <v:rect id="_x0000_i1025" alt="" style="width:451.3pt;height:1.5pt;mso-width-percent:0;mso-height-percent:0;mso-width-percent:0;mso-height-percent:0" o:hralign="center" o:hrstd="t" o:hrnoshade="t" o:hr="t" fillcolor="#252567" stroked="f"/>
        </w:pict>
      </w:r>
    </w:p>
    <w:p w14:paraId="3E689F5C" w14:textId="2C316679" w:rsidR="00F15215" w:rsidRPr="00544657" w:rsidRDefault="00F15215" w:rsidP="00B15FBA">
      <w:pPr>
        <w:pStyle w:val="Heading1"/>
      </w:pPr>
      <w:bookmarkStart w:id="1" w:name="_Toc195106179"/>
      <w:r w:rsidRPr="00544657">
        <w:t xml:space="preserve">Ethics </w:t>
      </w:r>
      <w:r w:rsidR="00BD3770">
        <w:t>and Governance</w:t>
      </w:r>
      <w:bookmarkEnd w:id="1"/>
    </w:p>
    <w:p w14:paraId="4EB6563A" w14:textId="01589874" w:rsidR="00F15215" w:rsidRPr="000665A1" w:rsidRDefault="00F15215" w:rsidP="00F2638E">
      <w:pPr>
        <w:pStyle w:val="Heading2"/>
      </w:pPr>
      <w:r w:rsidRPr="000665A1">
        <w:t xml:space="preserve">The </w:t>
      </w:r>
      <w:r>
        <w:t>PI of the research project</w:t>
      </w:r>
      <w:r w:rsidRPr="000665A1">
        <w:t xml:space="preserve"> must obtain approval</w:t>
      </w:r>
      <w:r w:rsidR="00794FF0">
        <w:t xml:space="preserve"> or exemption</w:t>
      </w:r>
      <w:r w:rsidRPr="000665A1">
        <w:t xml:space="preserve"> from a registered NHMRC (or equivalent) Human Research Ethics Committee (HREC)</w:t>
      </w:r>
      <w:r w:rsidR="008810BD">
        <w:t xml:space="preserve"> and if relevant, an Animal Ethics Committee (AEC),</w:t>
      </w:r>
      <w:r w:rsidRPr="000665A1">
        <w:t xml:space="preserve"> before </w:t>
      </w:r>
      <w:r>
        <w:t>the ADTB will issue approval for sample access.</w:t>
      </w:r>
    </w:p>
    <w:p w14:paraId="4416C5B0" w14:textId="6C51BE9D" w:rsidR="00F15215" w:rsidRDefault="00F15215" w:rsidP="00F2638E">
      <w:pPr>
        <w:pStyle w:val="Heading2"/>
      </w:pPr>
      <w:r w:rsidRPr="000665A1">
        <w:t xml:space="preserve">Projects exempt from review will be considered. Please provide </w:t>
      </w:r>
      <w:r w:rsidR="006B4620">
        <w:t>the</w:t>
      </w:r>
      <w:r w:rsidR="006B4620" w:rsidRPr="000665A1">
        <w:t xml:space="preserve"> </w:t>
      </w:r>
      <w:r w:rsidR="00D871C7">
        <w:t>HREC</w:t>
      </w:r>
      <w:r w:rsidRPr="000665A1">
        <w:t xml:space="preserve"> (or equivalent) letter of exemption with your application. </w:t>
      </w:r>
    </w:p>
    <w:p w14:paraId="1ACE63B8" w14:textId="266FC77A" w:rsidR="002506E7" w:rsidRDefault="009D256C" w:rsidP="00F2638E">
      <w:pPr>
        <w:pStyle w:val="Heading2"/>
      </w:pPr>
      <w:r>
        <w:t>C</w:t>
      </w:r>
      <w:r w:rsidR="00144CF0" w:rsidRPr="00144CF0">
        <w:t xml:space="preserve">onsent for donation to the ADTB </w:t>
      </w:r>
      <w:r w:rsidR="00144CF0">
        <w:t>is</w:t>
      </w:r>
      <w:r w:rsidR="00144CF0" w:rsidRPr="00144CF0">
        <w:t xml:space="preserve"> obtained </w:t>
      </w:r>
      <w:r w:rsidR="00144CF0">
        <w:t xml:space="preserve">by </w:t>
      </w:r>
      <w:r w:rsidR="00144CF0" w:rsidRPr="00144CF0">
        <w:t xml:space="preserve">DonateLife </w:t>
      </w:r>
      <w:r>
        <w:t>Victoria Coordinators (DCs)</w:t>
      </w:r>
      <w:r w:rsidR="00144CF0">
        <w:t xml:space="preserve"> following</w:t>
      </w:r>
      <w:r w:rsidR="00144CF0" w:rsidRPr="00144CF0">
        <w:t xml:space="preserve"> consent for organ and tissue donation</w:t>
      </w:r>
      <w:r w:rsidR="002506E7">
        <w:t xml:space="preserve"> for transplantation</w:t>
      </w:r>
      <w:r w:rsidR="00144CF0">
        <w:t xml:space="preserve">. </w:t>
      </w:r>
      <w:r w:rsidR="00144CF0" w:rsidRPr="00144CF0">
        <w:t xml:space="preserve">The </w:t>
      </w:r>
      <w:r w:rsidR="00675B72">
        <w:t>DC</w:t>
      </w:r>
      <w:r w:rsidR="00675B72" w:rsidRPr="00144CF0">
        <w:t xml:space="preserve"> </w:t>
      </w:r>
      <w:r w:rsidR="00144CF0" w:rsidRPr="00144CF0">
        <w:t>provide</w:t>
      </w:r>
      <w:r w:rsidR="002506E7">
        <w:t>s</w:t>
      </w:r>
      <w:r w:rsidR="00144CF0" w:rsidRPr="00144CF0">
        <w:t xml:space="preserve"> the </w:t>
      </w:r>
      <w:r w:rsidR="00144CF0">
        <w:t xml:space="preserve">donor’s Senior Available Next of Kin (SANOK) </w:t>
      </w:r>
      <w:r w:rsidR="00144CF0" w:rsidRPr="00144CF0">
        <w:t xml:space="preserve">with written information about the ADTB as outlined in the general ADTB </w:t>
      </w:r>
      <w:r w:rsidR="008C567D">
        <w:t>I</w:t>
      </w:r>
      <w:r w:rsidR="00144CF0" w:rsidRPr="00144CF0">
        <w:t xml:space="preserve">nformation </w:t>
      </w:r>
      <w:r w:rsidR="008C567D">
        <w:t>S</w:t>
      </w:r>
      <w:r w:rsidR="00144CF0" w:rsidRPr="00144CF0">
        <w:t>heet</w:t>
      </w:r>
      <w:r w:rsidR="00144CF0">
        <w:t xml:space="preserve"> </w:t>
      </w:r>
      <w:r w:rsidR="005B20E8">
        <w:t xml:space="preserve">and Consent Form </w:t>
      </w:r>
      <w:r w:rsidR="00144CF0">
        <w:t>and</w:t>
      </w:r>
      <w:r w:rsidR="00144CF0" w:rsidRPr="00144CF0">
        <w:t xml:space="preserve"> </w:t>
      </w:r>
      <w:r w:rsidR="00144CF0">
        <w:t>refer</w:t>
      </w:r>
      <w:r w:rsidR="002506E7">
        <w:t xml:space="preserve">s </w:t>
      </w:r>
      <w:r w:rsidR="001E4590">
        <w:t>the SANOK</w:t>
      </w:r>
      <w:r w:rsidR="001E4590" w:rsidRPr="00144CF0">
        <w:t xml:space="preserve"> </w:t>
      </w:r>
      <w:r w:rsidR="00144CF0" w:rsidRPr="00144CF0">
        <w:t xml:space="preserve">to the ADTB website </w:t>
      </w:r>
      <w:r w:rsidR="0040731F" w:rsidRPr="004455DC">
        <w:t>(</w:t>
      </w:r>
      <w:r w:rsidR="00121B23" w:rsidRPr="004455DC">
        <w:t>adtbiobank.org</w:t>
      </w:r>
      <w:r w:rsidR="0040731F" w:rsidRPr="004455DC">
        <w:t>)</w:t>
      </w:r>
      <w:r w:rsidR="0040731F">
        <w:t xml:space="preserve"> </w:t>
      </w:r>
      <w:r w:rsidR="00010D2B">
        <w:t>for information about the</w:t>
      </w:r>
      <w:r w:rsidR="00121B23">
        <w:t xml:space="preserve"> </w:t>
      </w:r>
      <w:r w:rsidR="00144CF0" w:rsidRPr="00144CF0">
        <w:t xml:space="preserve">research projects </w:t>
      </w:r>
      <w:r w:rsidR="00010D2B">
        <w:t xml:space="preserve">that </w:t>
      </w:r>
      <w:r w:rsidR="0040731F">
        <w:t>use</w:t>
      </w:r>
      <w:r w:rsidR="00144CF0" w:rsidRPr="00144CF0">
        <w:t xml:space="preserve"> ADTB </w:t>
      </w:r>
      <w:r w:rsidR="0040731F">
        <w:t>donations.</w:t>
      </w:r>
      <w:r w:rsidR="00144CF0">
        <w:t xml:space="preserve"> </w:t>
      </w:r>
      <w:r w:rsidR="001E4590">
        <w:t>Therefore,</w:t>
      </w:r>
      <w:r w:rsidR="004E10E4">
        <w:t xml:space="preserve"> a</w:t>
      </w:r>
      <w:r w:rsidR="001E4590">
        <w:t xml:space="preserve"> plain language summary </w:t>
      </w:r>
      <w:r w:rsidR="004E10E4">
        <w:t xml:space="preserve">of the research project must be provided </w:t>
      </w:r>
      <w:r w:rsidR="00241A3A">
        <w:t>for</w:t>
      </w:r>
      <w:r w:rsidR="001E4590">
        <w:t xml:space="preserve"> display on the ADTB website.</w:t>
      </w:r>
    </w:p>
    <w:p w14:paraId="0925D6DB" w14:textId="5352EE66" w:rsidR="00F6739E" w:rsidRDefault="009811B5" w:rsidP="00F2638E">
      <w:pPr>
        <w:pStyle w:val="Heading2"/>
      </w:pPr>
      <w:r>
        <w:t xml:space="preserve">The </w:t>
      </w:r>
      <w:r w:rsidR="00D8627A">
        <w:t xml:space="preserve">ADTB </w:t>
      </w:r>
      <w:r w:rsidR="00176EF8">
        <w:t>consent</w:t>
      </w:r>
      <w:r>
        <w:t xml:space="preserve"> form</w:t>
      </w:r>
      <w:r w:rsidR="00176EF8">
        <w:t xml:space="preserve"> </w:t>
      </w:r>
      <w:r w:rsidR="00F6739E">
        <w:t xml:space="preserve">does not </w:t>
      </w:r>
      <w:r w:rsidR="00E303C0">
        <w:t>include consent for</w:t>
      </w:r>
      <w:r w:rsidR="00F6739E">
        <w:t xml:space="preserve"> the</w:t>
      </w:r>
      <w:r w:rsidR="00176EF8">
        <w:t xml:space="preserve"> use of sam</w:t>
      </w:r>
      <w:r w:rsidR="0045567E">
        <w:t>ples in research which is considered ethically complex.</w:t>
      </w:r>
      <w:r w:rsidR="00A3422F">
        <w:t xml:space="preserve"> Research considered ethically complex includes genetic testing</w:t>
      </w:r>
      <w:r w:rsidR="00817E30">
        <w:t xml:space="preserve"> and</w:t>
      </w:r>
      <w:r w:rsidR="00A3422F">
        <w:t xml:space="preserve"> the creation of </w:t>
      </w:r>
      <w:r w:rsidR="00817E30">
        <w:t xml:space="preserve">immortal </w:t>
      </w:r>
      <w:r w:rsidR="00A3422F">
        <w:t>cell lines</w:t>
      </w:r>
      <w:r w:rsidR="00817E30">
        <w:t>.</w:t>
      </w:r>
      <w:r w:rsidR="00A3422F">
        <w:t xml:space="preserve"> </w:t>
      </w:r>
      <w:r w:rsidR="0045567E">
        <w:t xml:space="preserve">Research </w:t>
      </w:r>
      <w:r w:rsidR="0020227A">
        <w:t>which</w:t>
      </w:r>
      <w:r w:rsidR="0045567E">
        <w:t xml:space="preserve"> is considered ethically complex</w:t>
      </w:r>
      <w:r w:rsidR="0020227A">
        <w:t xml:space="preserve"> is still possible, however </w:t>
      </w:r>
      <w:r w:rsidR="00033DC6">
        <w:t xml:space="preserve">secondary consent and </w:t>
      </w:r>
      <w:r w:rsidR="005631EA">
        <w:t xml:space="preserve">a </w:t>
      </w:r>
      <w:r w:rsidR="00BB382B">
        <w:t xml:space="preserve">more comprehensive </w:t>
      </w:r>
      <w:r w:rsidR="00033DC6">
        <w:t>project approval process is require</w:t>
      </w:r>
      <w:r w:rsidR="00E303C0">
        <w:t>d:</w:t>
      </w:r>
      <w:r w:rsidR="0036660C">
        <w:t xml:space="preserve"> </w:t>
      </w:r>
    </w:p>
    <w:p w14:paraId="02FC9D85" w14:textId="59493ABC" w:rsidR="00C06BA6" w:rsidRDefault="00C06BA6" w:rsidP="00F2638E">
      <w:pPr>
        <w:pStyle w:val="ListParagraph"/>
        <w:numPr>
          <w:ilvl w:val="0"/>
          <w:numId w:val="7"/>
        </w:numPr>
      </w:pPr>
      <w:r>
        <w:t xml:space="preserve">Researchers must clearly indicate whether their project </w:t>
      </w:r>
      <w:r w:rsidR="00D93223">
        <w:t>involve</w:t>
      </w:r>
      <w:r w:rsidR="0079626B">
        <w:t>s</w:t>
      </w:r>
      <w:r w:rsidR="00D93223">
        <w:t xml:space="preserve"> </w:t>
      </w:r>
      <w:r w:rsidR="0079626B">
        <w:t xml:space="preserve">research considered </w:t>
      </w:r>
      <w:r w:rsidR="00D93223">
        <w:t xml:space="preserve">ethically complex in </w:t>
      </w:r>
      <w:r>
        <w:t xml:space="preserve">their Sample Access Form and ethics submission. </w:t>
      </w:r>
      <w:r w:rsidR="00BB382B">
        <w:t xml:space="preserve"> </w:t>
      </w:r>
    </w:p>
    <w:p w14:paraId="56B37A59" w14:textId="0E496DC3" w:rsidR="009B1CB0" w:rsidRDefault="009B1CB0" w:rsidP="00F2638E">
      <w:pPr>
        <w:pStyle w:val="ListParagraph"/>
        <w:numPr>
          <w:ilvl w:val="0"/>
          <w:numId w:val="7"/>
        </w:numPr>
      </w:pPr>
      <w:r w:rsidRPr="000665A1">
        <w:t xml:space="preserve">Projects </w:t>
      </w:r>
      <w:r>
        <w:t>that involve ethically complex r</w:t>
      </w:r>
      <w:r w:rsidRPr="002506E7">
        <w:t xml:space="preserve">esearch </w:t>
      </w:r>
      <w:r>
        <w:t>require Lifeblood Ethics Committee approval which may take up to 2 months.</w:t>
      </w:r>
    </w:p>
    <w:p w14:paraId="133864C3" w14:textId="753B8669" w:rsidR="008E4BFC" w:rsidRDefault="009033DB" w:rsidP="00F2638E">
      <w:pPr>
        <w:pStyle w:val="ListParagraph"/>
        <w:numPr>
          <w:ilvl w:val="0"/>
          <w:numId w:val="7"/>
        </w:numPr>
      </w:pPr>
      <w:r>
        <w:t>Secondary consent for</w:t>
      </w:r>
      <w:r w:rsidR="0019375A">
        <w:t xml:space="preserve"> ethically complex</w:t>
      </w:r>
      <w:r>
        <w:t xml:space="preserve"> research </w:t>
      </w:r>
      <w:r w:rsidR="00F24E15">
        <w:t xml:space="preserve">must be obtained from the SANOK </w:t>
      </w:r>
      <w:r w:rsidR="009B1CB0">
        <w:t>by the researcher</w:t>
      </w:r>
      <w:r w:rsidR="005C4CD2">
        <w:t xml:space="preserve">. ADTB will not seek secondary consent on behalf of </w:t>
      </w:r>
      <w:r w:rsidR="00BE61C9">
        <w:t xml:space="preserve">the </w:t>
      </w:r>
      <w:r w:rsidR="005C4CD2">
        <w:t>researcher.</w:t>
      </w:r>
      <w:r w:rsidR="00B27754">
        <w:t xml:space="preserve"> Consent </w:t>
      </w:r>
      <w:r w:rsidR="00B27754">
        <w:lastRenderedPageBreak/>
        <w:t xml:space="preserve">must be sought from the SANOK more than </w:t>
      </w:r>
      <w:r w:rsidR="00B205BE">
        <w:t>3</w:t>
      </w:r>
      <w:r w:rsidR="00B27754">
        <w:t xml:space="preserve"> months after organ donation. Contact with the SANOK will be coordinated with DonateLife Victoria.</w:t>
      </w:r>
    </w:p>
    <w:p w14:paraId="4626EF86" w14:textId="4B31047C" w:rsidR="00B27754" w:rsidRPr="00530EC2" w:rsidRDefault="00530EC2" w:rsidP="00F2638E">
      <w:pPr>
        <w:pStyle w:val="Heading2"/>
      </w:pPr>
      <w:r w:rsidRPr="00F2638E">
        <w:t xml:space="preserve">Researchers who wish to use ADTB samples in rodent models are required to explicitly state this in </w:t>
      </w:r>
      <w:r w:rsidR="00C82D6B">
        <w:t>the</w:t>
      </w:r>
      <w:r w:rsidRPr="00F2638E">
        <w:t xml:space="preserve"> Sample Access Form and provide evidence of AEC approval for rodent model research.</w:t>
      </w:r>
    </w:p>
    <w:p w14:paraId="62909E1E" w14:textId="62962BE4" w:rsidR="00765753" w:rsidRPr="00765753" w:rsidRDefault="00765753">
      <w:pPr>
        <w:pStyle w:val="Heading2"/>
      </w:pPr>
      <w:r w:rsidRPr="00F2638E">
        <w:t>Given the time and effort needed to extract cells or generate models (i.e. organoids), researchers may wish to store sample derivates indefinitely for use in future research</w:t>
      </w:r>
      <w:r w:rsidR="00A333F1">
        <w:t xml:space="preserve"> projects</w:t>
      </w:r>
      <w:r w:rsidRPr="00F2638E">
        <w:t xml:space="preserve">. However, </w:t>
      </w:r>
      <w:r w:rsidR="003D11FA">
        <w:t xml:space="preserve">if the </w:t>
      </w:r>
      <w:r w:rsidR="003521F4">
        <w:t xml:space="preserve">future </w:t>
      </w:r>
      <w:r w:rsidRPr="00F2638E">
        <w:t>research</w:t>
      </w:r>
      <w:r w:rsidR="003521F4">
        <w:t xml:space="preserve"> project</w:t>
      </w:r>
      <w:r w:rsidRPr="00F2638E">
        <w:t xml:space="preserve"> </w:t>
      </w:r>
      <w:r w:rsidR="003D11FA">
        <w:t>is different to the primary research project</w:t>
      </w:r>
      <w:r w:rsidR="00B14A75">
        <w:t xml:space="preserve">, the </w:t>
      </w:r>
      <w:r w:rsidR="00A333F1">
        <w:t>future research project (“</w:t>
      </w:r>
      <w:r w:rsidRPr="00F2638E">
        <w:t>secondary research project</w:t>
      </w:r>
      <w:r w:rsidR="00A333F1">
        <w:t>”)</w:t>
      </w:r>
      <w:r w:rsidRPr="00F2638E">
        <w:t xml:space="preserve"> must apply </w:t>
      </w:r>
      <w:r w:rsidR="00631F27">
        <w:t xml:space="preserve">to ADTB </w:t>
      </w:r>
      <w:r w:rsidRPr="00F2638E">
        <w:t xml:space="preserve">for </w:t>
      </w:r>
      <w:r w:rsidR="00382DD5">
        <w:t>approv</w:t>
      </w:r>
      <w:r w:rsidR="001614F5">
        <w:t>al</w:t>
      </w:r>
      <w:r w:rsidR="00382DD5">
        <w:t xml:space="preserve"> to use</w:t>
      </w:r>
      <w:r w:rsidRPr="00F2638E">
        <w:t xml:space="preserve"> stored</w:t>
      </w:r>
      <w:r w:rsidR="00382DD5">
        <w:t xml:space="preserve"> samples and </w:t>
      </w:r>
      <w:r w:rsidRPr="00F2638E">
        <w:t xml:space="preserve">derivates </w:t>
      </w:r>
      <w:r w:rsidR="001614F5">
        <w:t>using the</w:t>
      </w:r>
      <w:r w:rsidRPr="00F2638E">
        <w:t xml:space="preserve"> sample access application process outlined in this document. </w:t>
      </w:r>
      <w:r w:rsidR="00A00BA7">
        <w:t>Approval of secondary research projects is</w:t>
      </w:r>
      <w:r w:rsidR="002952AD">
        <w:t xml:space="preserve"> required </w:t>
      </w:r>
      <w:r w:rsidR="00A00BA7">
        <w:t xml:space="preserve">to meet the governance requirement that ADTB has approved all research using donated organs and tissues. </w:t>
      </w:r>
    </w:p>
    <w:p w14:paraId="48FE641B" w14:textId="0839218F" w:rsidR="00C33450" w:rsidRDefault="002506E7" w:rsidP="00F2638E">
      <w:pPr>
        <w:pStyle w:val="Heading2"/>
      </w:pPr>
      <w:r w:rsidRPr="00751128">
        <w:t>Researchers are required to report any medically actionable results resulting from their research to ADTB</w:t>
      </w:r>
      <w:r>
        <w:t xml:space="preserve"> due to</w:t>
      </w:r>
      <w:r w:rsidRPr="00751128">
        <w:t xml:space="preserve"> </w:t>
      </w:r>
      <w:r>
        <w:t xml:space="preserve">the potential health implications for donor families (per NHMRC </w:t>
      </w:r>
      <w:r w:rsidRPr="008F2745">
        <w:t>National Statement on Ethical Conduct in Human Research (2007) - Updated 2018</w:t>
      </w:r>
      <w:r>
        <w:t xml:space="preserve">, sections </w:t>
      </w:r>
      <w:r w:rsidRPr="00131BDC">
        <w:t>3.3.36-3.3.61</w:t>
      </w:r>
      <w:r>
        <w:t xml:space="preserve">). </w:t>
      </w:r>
      <w:r w:rsidR="0031013E">
        <w:t>If applicable, r</w:t>
      </w:r>
      <w:r w:rsidR="00FF59E7" w:rsidRPr="00FF59E7">
        <w:t xml:space="preserve">esearchers </w:t>
      </w:r>
      <w:r w:rsidR="00FF59E7">
        <w:t>must address</w:t>
      </w:r>
      <w:r w:rsidR="00FF59E7" w:rsidRPr="00FF59E7">
        <w:t xml:space="preserve"> the issue of findings with potential clinical significance in their original ethics application.</w:t>
      </w:r>
      <w:r w:rsidR="009E0335">
        <w:t xml:space="preserve"> </w:t>
      </w:r>
      <w:r w:rsidR="00255020">
        <w:t>Applications with</w:t>
      </w:r>
      <w:r w:rsidR="00F26B63">
        <w:t xml:space="preserve"> the</w:t>
      </w:r>
      <w:r w:rsidR="00255020">
        <w:t xml:space="preserve"> potential for findings of clinical significan</w:t>
      </w:r>
      <w:r w:rsidR="00AA6C11">
        <w:t xml:space="preserve">ce for donor families require </w:t>
      </w:r>
      <w:r w:rsidR="00AA6C11" w:rsidRPr="00AA6C11">
        <w:t>Lifeblood Ethics Committee approval which may take up to 2 months.</w:t>
      </w:r>
    </w:p>
    <w:p w14:paraId="301EECBA" w14:textId="678AE3AD" w:rsidR="00C33450" w:rsidRDefault="00511CB1" w:rsidP="00530EC2">
      <w:pPr>
        <w:pStyle w:val="Heading2"/>
      </w:pPr>
      <w:r w:rsidRPr="0064513C">
        <w:t xml:space="preserve">Organ donor infections and cancers can be transmitted to the </w:t>
      </w:r>
      <w:r w:rsidR="009B1E7B" w:rsidRPr="0064513C">
        <w:t xml:space="preserve">transplant </w:t>
      </w:r>
      <w:r w:rsidRPr="0064513C">
        <w:t>recipient with the transplanted organ.</w:t>
      </w:r>
      <w:r w:rsidR="001A4A85" w:rsidRPr="0064513C">
        <w:t xml:space="preserve"> </w:t>
      </w:r>
      <w:r w:rsidR="00CA08E6" w:rsidRPr="0064513C">
        <w:t>Researchers are required to</w:t>
      </w:r>
      <w:r w:rsidR="007F1D0C">
        <w:t xml:space="preserve"> immediately</w:t>
      </w:r>
      <w:r w:rsidR="00CA08E6" w:rsidRPr="0064513C">
        <w:t xml:space="preserve"> report </w:t>
      </w:r>
      <w:r w:rsidR="002E5F63">
        <w:t xml:space="preserve">to the ADTB </w:t>
      </w:r>
      <w:r w:rsidR="00CA08E6" w:rsidRPr="0064513C">
        <w:t>any medical results resul</w:t>
      </w:r>
      <w:r w:rsidR="0031277E" w:rsidRPr="0064513C">
        <w:t xml:space="preserve">ting from their research that may have implications for the recipients of organs from </w:t>
      </w:r>
      <w:r w:rsidR="002D6550">
        <w:t>a donor</w:t>
      </w:r>
      <w:r w:rsidR="005E3E4B" w:rsidRPr="0064513C">
        <w:t>. Examples include infection</w:t>
      </w:r>
      <w:r w:rsidR="008E04C9" w:rsidRPr="0064513C">
        <w:t>s and cancers</w:t>
      </w:r>
      <w:r w:rsidR="005E3E4B" w:rsidRPr="0064513C">
        <w:t xml:space="preserve"> that were </w:t>
      </w:r>
      <w:r w:rsidR="00C65186" w:rsidRPr="0064513C">
        <w:t>not known about</w:t>
      </w:r>
      <w:r w:rsidR="008E04C9" w:rsidRPr="0064513C">
        <w:t xml:space="preserve"> at the time of </w:t>
      </w:r>
      <w:r w:rsidR="00547EA1">
        <w:t>organ and tissue</w:t>
      </w:r>
      <w:r w:rsidR="00547EA1" w:rsidRPr="0064513C">
        <w:t xml:space="preserve"> </w:t>
      </w:r>
      <w:r w:rsidR="00C65186" w:rsidRPr="0064513C">
        <w:t>donation.</w:t>
      </w:r>
      <w:r w:rsidR="008E04C9">
        <w:t xml:space="preserve"> </w:t>
      </w:r>
    </w:p>
    <w:p w14:paraId="552DB213" w14:textId="7EC34C73" w:rsidR="00DE5EA7" w:rsidRPr="0082570F" w:rsidRDefault="00DE5EA7" w:rsidP="00DE5EA7">
      <w:pPr>
        <w:pStyle w:val="Heading2"/>
      </w:pPr>
      <w:r>
        <w:t xml:space="preserve">Upon research project approval or while awaiting approval, a Materials Transfer Agreement (MTA) must be drafted and agreed upon by both host institutions. The provision of biospecimens or services cannot commence until the fully executed MTA has been returned. MTAs that have </w:t>
      </w:r>
      <w:r w:rsidRPr="0082570F">
        <w:t>not been returned within</w:t>
      </w:r>
      <w:r w:rsidRPr="00F2638E">
        <w:t xml:space="preserve"> </w:t>
      </w:r>
      <w:r w:rsidR="00B205BE" w:rsidRPr="00F2638E">
        <w:t>4</w:t>
      </w:r>
      <w:r w:rsidRPr="00F2638E">
        <w:t xml:space="preserve"> months </w:t>
      </w:r>
      <w:r w:rsidRPr="0082570F">
        <w:t xml:space="preserve">may not be followed up </w:t>
      </w:r>
      <w:proofErr w:type="gramStart"/>
      <w:r w:rsidRPr="0082570F">
        <w:t>i.e.,</w:t>
      </w:r>
      <w:proofErr w:type="gramEnd"/>
      <w:r w:rsidRPr="0082570F">
        <w:t xml:space="preserve"> no further action will be taken by the ADTB to determine the status of the application.</w:t>
      </w:r>
    </w:p>
    <w:p w14:paraId="38163584" w14:textId="564D5AAF" w:rsidR="00DE5EA7" w:rsidRPr="0082570F" w:rsidRDefault="00DE5EA7" w:rsidP="00F2638E">
      <w:pPr>
        <w:pStyle w:val="Heading2"/>
      </w:pPr>
      <w:r w:rsidRPr="00F2638E">
        <w:t xml:space="preserve">A Letter of Support intended to assist with ethics and/or funding applications </w:t>
      </w:r>
      <w:r w:rsidR="008C2066">
        <w:t>can</w:t>
      </w:r>
      <w:r w:rsidRPr="00F2638E">
        <w:t xml:space="preserve"> be provided upon request to researchers who plan to utilise ADTB samples for their research project.</w:t>
      </w:r>
    </w:p>
    <w:p w14:paraId="2EBC96DD" w14:textId="11E7B99C" w:rsidR="00F15215" w:rsidRDefault="001309FA" w:rsidP="00F2638E">
      <w:pPr>
        <w:pStyle w:val="NoSpacing"/>
        <w:spacing w:after="120"/>
        <w:jc w:val="both"/>
        <w:rPr>
          <w:rFonts w:cs="Arial"/>
        </w:rPr>
      </w:pPr>
      <w:r>
        <w:rPr>
          <w:noProof/>
        </w:rPr>
        <w:pict w14:anchorId="27D42DA4">
          <v:rect id="_x0000_i1026" alt="" style="width:451.3pt;height:1.5pt;mso-width-percent:0;mso-height-percent:0;mso-width-percent:0;mso-height-percent:0" o:hralign="center" o:hrstd="t" o:hrnoshade="t" o:hr="t" fillcolor="#252567" stroked="f"/>
        </w:pict>
      </w:r>
    </w:p>
    <w:p w14:paraId="3A806458" w14:textId="709CC88F" w:rsidR="00F15215" w:rsidRPr="00544657" w:rsidRDefault="00F15215" w:rsidP="00B15FBA">
      <w:pPr>
        <w:pStyle w:val="Heading1"/>
      </w:pPr>
      <w:bookmarkStart w:id="2" w:name="_Toc195106180"/>
      <w:r w:rsidRPr="00544657">
        <w:t>Review by the Sample Access Committee and Lifeblood</w:t>
      </w:r>
      <w:bookmarkEnd w:id="2"/>
      <w:r w:rsidRPr="00544657">
        <w:t xml:space="preserve"> </w:t>
      </w:r>
    </w:p>
    <w:p w14:paraId="6A964A40" w14:textId="49C6FFBF" w:rsidR="00F15215" w:rsidRPr="000665A1" w:rsidRDefault="00F15215" w:rsidP="00F2638E">
      <w:pPr>
        <w:pStyle w:val="Heading2"/>
      </w:pPr>
      <w:r w:rsidRPr="000665A1">
        <w:t xml:space="preserve">The ADTB </w:t>
      </w:r>
      <w:r>
        <w:t xml:space="preserve">Sample </w:t>
      </w:r>
      <w:r w:rsidRPr="000665A1">
        <w:t xml:space="preserve">Access Committee </w:t>
      </w:r>
      <w:r w:rsidR="007E4FEE">
        <w:t xml:space="preserve">(SAC) </w:t>
      </w:r>
      <w:r w:rsidRPr="000665A1">
        <w:t xml:space="preserve">reviews applications to: </w:t>
      </w:r>
    </w:p>
    <w:p w14:paraId="22AB61A1" w14:textId="724E2E81" w:rsidR="00F15215" w:rsidRPr="000665A1" w:rsidRDefault="00F15215" w:rsidP="00F2638E">
      <w:pPr>
        <w:pStyle w:val="ListParagraph"/>
        <w:numPr>
          <w:ilvl w:val="0"/>
          <w:numId w:val="10"/>
        </w:numPr>
      </w:pPr>
      <w:r>
        <w:t>Ensure</w:t>
      </w:r>
      <w:r w:rsidRPr="000665A1">
        <w:t xml:space="preserve"> the capabilities of the ADTB </w:t>
      </w:r>
      <w:r>
        <w:t xml:space="preserve">match those of the project </w:t>
      </w:r>
      <w:r w:rsidRPr="000665A1">
        <w:t xml:space="preserve">in terms of feasibility, prioritisation and/or the quantities of tissue being requested </w:t>
      </w:r>
    </w:p>
    <w:p w14:paraId="23CD11F1" w14:textId="3C5B0F30" w:rsidR="00F15215" w:rsidRDefault="00F15215" w:rsidP="00F2638E">
      <w:pPr>
        <w:pStyle w:val="ListParagraph"/>
        <w:numPr>
          <w:ilvl w:val="0"/>
          <w:numId w:val="10"/>
        </w:numPr>
      </w:pPr>
      <w:r>
        <w:t>Review e</w:t>
      </w:r>
      <w:r w:rsidRPr="000665A1">
        <w:t>vidence that the project has undergone a scientific or peer-review process and has been approved by a registered NHMRC (or equivalent) Human Research Ethics Committee (HREC)</w:t>
      </w:r>
      <w:r w:rsidR="00B15FBA">
        <w:t>, and if relevant, an Animal Ethics Committee (AEC)</w:t>
      </w:r>
      <w:r w:rsidRPr="000665A1">
        <w:t xml:space="preserve"> </w:t>
      </w:r>
      <w:r w:rsidRPr="000665A1">
        <w:tab/>
      </w:r>
    </w:p>
    <w:p w14:paraId="0D3603B9" w14:textId="1A62F335" w:rsidR="00F15215" w:rsidRPr="000665A1" w:rsidRDefault="00F15215" w:rsidP="00F2638E">
      <w:pPr>
        <w:pStyle w:val="ListParagraph"/>
        <w:numPr>
          <w:ilvl w:val="0"/>
          <w:numId w:val="10"/>
        </w:numPr>
      </w:pPr>
      <w:r>
        <w:t>Ensure the scope and methods of the project fall within with the ethics approval</w:t>
      </w:r>
      <w:r w:rsidR="00FD021A">
        <w:t xml:space="preserve"> or exemption</w:t>
      </w:r>
      <w:r>
        <w:t xml:space="preserve"> granted to the ADTB</w:t>
      </w:r>
    </w:p>
    <w:p w14:paraId="6C399A62" w14:textId="218EC9DE" w:rsidR="00F15215" w:rsidRPr="000665A1" w:rsidRDefault="00F15215" w:rsidP="00F2638E">
      <w:pPr>
        <w:pStyle w:val="ListParagraph"/>
        <w:numPr>
          <w:ilvl w:val="0"/>
          <w:numId w:val="10"/>
        </w:numPr>
      </w:pPr>
      <w:r w:rsidRPr="000665A1">
        <w:t>Resolve issues of competing demand</w:t>
      </w:r>
      <w:r>
        <w:t xml:space="preserve"> with other researchers</w:t>
      </w:r>
      <w:r w:rsidRPr="000665A1">
        <w:t xml:space="preserve"> </w:t>
      </w:r>
    </w:p>
    <w:p w14:paraId="5EC4A1E6" w14:textId="57CBBB4A" w:rsidR="007E4FEE" w:rsidRDefault="007E4FEE" w:rsidP="00F2638E">
      <w:pPr>
        <w:pStyle w:val="Heading2"/>
      </w:pPr>
      <w:r>
        <w:t>The SAC</w:t>
      </w:r>
      <w:r w:rsidR="00F15215" w:rsidRPr="000665A1">
        <w:t xml:space="preserve"> </w:t>
      </w:r>
      <w:r>
        <w:t xml:space="preserve">will endeavour to assess all applications </w:t>
      </w:r>
      <w:r w:rsidR="00F15215" w:rsidRPr="000665A1">
        <w:t xml:space="preserve">within </w:t>
      </w:r>
      <w:r w:rsidR="0049745A">
        <w:t>four</w:t>
      </w:r>
      <w:r w:rsidR="00B15FBA">
        <w:t xml:space="preserve"> weeks</w:t>
      </w:r>
      <w:r w:rsidR="00F15215" w:rsidRPr="000665A1">
        <w:t xml:space="preserve"> of submission</w:t>
      </w:r>
      <w:r w:rsidR="00EA233D">
        <w:t>.</w:t>
      </w:r>
    </w:p>
    <w:p w14:paraId="75349B27" w14:textId="3DDCDBC0" w:rsidR="007E4FEE" w:rsidRDefault="007E4FEE" w:rsidP="00F2638E">
      <w:pPr>
        <w:pStyle w:val="Heading2"/>
      </w:pPr>
      <w:r>
        <w:t>The SAC may issue queries which are required to be answered satisfactorily prior to final approval.</w:t>
      </w:r>
    </w:p>
    <w:p w14:paraId="32E3B317" w14:textId="4BFDCD2D" w:rsidR="009068CF" w:rsidRPr="000665A1" w:rsidRDefault="007E4FEE" w:rsidP="00F2638E">
      <w:pPr>
        <w:pStyle w:val="Heading2"/>
      </w:pPr>
      <w:r w:rsidRPr="007E4FEE">
        <w:t>After SAC approval, the application will be provided to the Lifeblood Ethics Committee for reciprocal approval</w:t>
      </w:r>
      <w:r w:rsidR="00341AFD">
        <w:t xml:space="preserve"> which may take up to </w:t>
      </w:r>
      <w:r w:rsidR="0049745A">
        <w:t>four</w:t>
      </w:r>
      <w:r w:rsidR="00AD1D66">
        <w:t xml:space="preserve"> weeks</w:t>
      </w:r>
      <w:r w:rsidRPr="007E4FEE">
        <w:t>.</w:t>
      </w:r>
      <w:r>
        <w:t xml:space="preserve"> </w:t>
      </w:r>
    </w:p>
    <w:p w14:paraId="7F3B9A01" w14:textId="4D528093" w:rsidR="00892568" w:rsidRPr="0064513C" w:rsidRDefault="001309FA" w:rsidP="00F2638E">
      <w:pPr>
        <w:pStyle w:val="NoSpacing"/>
        <w:spacing w:after="120"/>
        <w:jc w:val="both"/>
        <w:rPr>
          <w:rFonts w:cs="Arial"/>
        </w:rPr>
      </w:pPr>
      <w:r>
        <w:rPr>
          <w:rFonts w:cs="Arial"/>
          <w:noProof/>
        </w:rPr>
        <w:lastRenderedPageBreak/>
        <w:pict w14:anchorId="31DB0817">
          <v:rect id="_x0000_i1027" alt="" style="width:451.3pt;height:1.5pt;mso-width-percent:0;mso-height-percent:0;mso-width-percent:0;mso-height-percent:0" o:hralign="center" o:hrstd="t" o:hrnoshade="t" o:hr="t" fillcolor="#252567" stroked="f"/>
        </w:pict>
      </w:r>
    </w:p>
    <w:p w14:paraId="68FE83AE" w14:textId="54B2CA0D" w:rsidR="00892568" w:rsidRPr="00544657" w:rsidRDefault="0049297F" w:rsidP="00B15FBA">
      <w:pPr>
        <w:pStyle w:val="Heading1"/>
      </w:pPr>
      <w:bookmarkStart w:id="3" w:name="_Toc195106181"/>
      <w:bookmarkStart w:id="4" w:name="_Toc195106182"/>
      <w:bookmarkStart w:id="5" w:name="_Toc195106183"/>
      <w:bookmarkStart w:id="6" w:name="_Toc195106184"/>
      <w:bookmarkStart w:id="7" w:name="_Toc195106185"/>
      <w:bookmarkStart w:id="8" w:name="_Toc195106186"/>
      <w:bookmarkStart w:id="9" w:name="_Toc195106187"/>
      <w:bookmarkStart w:id="10" w:name="_Toc195106188"/>
      <w:bookmarkStart w:id="11" w:name="_Toc195106189"/>
      <w:bookmarkEnd w:id="3"/>
      <w:bookmarkEnd w:id="4"/>
      <w:bookmarkEnd w:id="5"/>
      <w:bookmarkEnd w:id="6"/>
      <w:bookmarkEnd w:id="7"/>
      <w:bookmarkEnd w:id="8"/>
      <w:bookmarkEnd w:id="9"/>
      <w:bookmarkEnd w:id="10"/>
      <w:r w:rsidRPr="00544657">
        <w:t xml:space="preserve">Post-Approval </w:t>
      </w:r>
      <w:r w:rsidR="00666A6B" w:rsidRPr="00544657">
        <w:t>Requirements</w:t>
      </w:r>
      <w:bookmarkEnd w:id="11"/>
    </w:p>
    <w:p w14:paraId="4285BEBC" w14:textId="62628031" w:rsidR="00227055" w:rsidRDefault="00910FAC" w:rsidP="00025990">
      <w:pPr>
        <w:pStyle w:val="Heading2"/>
      </w:pPr>
      <w:r>
        <w:t>Approved research</w:t>
      </w:r>
      <w:r w:rsidR="00654159">
        <w:t xml:space="preserve"> projects</w:t>
      </w:r>
      <w:r>
        <w:t xml:space="preserve"> are required to provide an annual progress report to the ADTB, detailing the status of </w:t>
      </w:r>
      <w:r w:rsidR="00654159">
        <w:t xml:space="preserve">the </w:t>
      </w:r>
      <w:r>
        <w:t>project</w:t>
      </w:r>
      <w:r w:rsidR="0049297F">
        <w:t xml:space="preserve">, </w:t>
      </w:r>
      <w:r w:rsidR="00AE3C04">
        <w:t>ethics amendment</w:t>
      </w:r>
      <w:r w:rsidR="00936968">
        <w:t xml:space="preserve"> (if any), </w:t>
      </w:r>
      <w:r w:rsidR="0049297F">
        <w:t>changes to funding,</w:t>
      </w:r>
      <w:r w:rsidR="00936968">
        <w:t xml:space="preserve"> changes to storage, distribution and use of materials/sample derivatives supplied by the ADTB,</w:t>
      </w:r>
      <w:r w:rsidR="0049297F">
        <w:t xml:space="preserve"> resultant patents/commercialisation</w:t>
      </w:r>
      <w:r w:rsidR="008E3E24">
        <w:t xml:space="preserve"> and public benefit, students supported by ADTB samples</w:t>
      </w:r>
      <w:r>
        <w:t xml:space="preserve"> and</w:t>
      </w:r>
      <w:r w:rsidR="004830F9" w:rsidRPr="0064513C">
        <w:t xml:space="preserve"> a list of abstracts, publications and presentations resulting from materials and/or data supplied by the </w:t>
      </w:r>
      <w:r w:rsidR="328EBEEB" w:rsidRPr="0064513C">
        <w:t>ADTB</w:t>
      </w:r>
      <w:r>
        <w:t>.</w:t>
      </w:r>
      <w:r w:rsidR="0049297F">
        <w:t xml:space="preserve"> A copy of the annual HREC progress report</w:t>
      </w:r>
      <w:r w:rsidR="00C021C1">
        <w:t xml:space="preserve"> acknowledge</w:t>
      </w:r>
      <w:r w:rsidR="004F6EE4">
        <w:t xml:space="preserve">d by the institutional HREC or </w:t>
      </w:r>
      <w:r w:rsidR="006577B9">
        <w:t>Principal</w:t>
      </w:r>
      <w:r w:rsidR="004F6EE4">
        <w:t xml:space="preserve"> </w:t>
      </w:r>
      <w:r w:rsidR="006D0D16">
        <w:t>I</w:t>
      </w:r>
      <w:r w:rsidR="0087168D">
        <w:t>nvestigator</w:t>
      </w:r>
      <w:r w:rsidR="004F6EE4">
        <w:t xml:space="preserve"> </w:t>
      </w:r>
      <w:r w:rsidR="00DC2D60">
        <w:t xml:space="preserve">must </w:t>
      </w:r>
      <w:r w:rsidR="0049297F">
        <w:t>be attached.</w:t>
      </w:r>
    </w:p>
    <w:p w14:paraId="3795731F" w14:textId="37CC5405" w:rsidR="00227055" w:rsidRPr="00F2638E" w:rsidRDefault="00E71A24" w:rsidP="00227055">
      <w:pPr>
        <w:pStyle w:val="Heading2"/>
      </w:pPr>
      <w:r>
        <w:t xml:space="preserve">Amendments to </w:t>
      </w:r>
      <w:r w:rsidR="00227055" w:rsidRPr="00F2638E">
        <w:t xml:space="preserve">ADTB sample </w:t>
      </w:r>
      <w:r>
        <w:t xml:space="preserve">use </w:t>
      </w:r>
      <w:r w:rsidR="001A397B">
        <w:t>or</w:t>
      </w:r>
      <w:r>
        <w:t xml:space="preserve"> </w:t>
      </w:r>
      <w:r w:rsidR="00227055" w:rsidRPr="00F2638E">
        <w:t xml:space="preserve">provision </w:t>
      </w:r>
      <w:r>
        <w:t>can be made by</w:t>
      </w:r>
      <w:r w:rsidR="00227055" w:rsidRPr="00F2638E">
        <w:t xml:space="preserve"> </w:t>
      </w:r>
      <w:r w:rsidR="00D95E5A" w:rsidRPr="00D95E5A">
        <w:t>submit</w:t>
      </w:r>
      <w:r w:rsidR="00D95E5A">
        <w:t>ting</w:t>
      </w:r>
      <w:r w:rsidR="00227055" w:rsidRPr="00F2638E">
        <w:t xml:space="preserve"> an Amendment Request Form </w:t>
      </w:r>
      <w:r w:rsidR="00D95E5A">
        <w:t>together with</w:t>
      </w:r>
      <w:r w:rsidR="00227055" w:rsidRPr="00F2638E">
        <w:t xml:space="preserve"> </w:t>
      </w:r>
      <w:r w:rsidR="00395F39">
        <w:t>relevant ethics</w:t>
      </w:r>
      <w:r w:rsidR="00227055" w:rsidRPr="00F2638E">
        <w:t xml:space="preserve"> approval letters from a HREC, and if </w:t>
      </w:r>
      <w:r w:rsidR="00395F39">
        <w:t>appropriate</w:t>
      </w:r>
      <w:r w:rsidR="00227055" w:rsidRPr="00F2638E">
        <w:t>, an AEC.</w:t>
      </w:r>
    </w:p>
    <w:p w14:paraId="3A5A029B" w14:textId="0AC2496C" w:rsidR="0049297F" w:rsidRPr="00227055" w:rsidRDefault="001A397B" w:rsidP="00F2638E">
      <w:pPr>
        <w:pStyle w:val="Heading2"/>
      </w:pPr>
      <w:r>
        <w:t>ADTB does not need to be notified about</w:t>
      </w:r>
      <w:r w:rsidR="00227055" w:rsidRPr="00F2638E">
        <w:t xml:space="preserve"> ethics amendments </w:t>
      </w:r>
      <w:r>
        <w:t xml:space="preserve">that </w:t>
      </w:r>
      <w:r w:rsidR="00227055" w:rsidRPr="00F2638E">
        <w:t>do not involve changes to ADTB sample</w:t>
      </w:r>
      <w:r>
        <w:t xml:space="preserve"> use or</w:t>
      </w:r>
      <w:r w:rsidR="00227055" w:rsidRPr="00F2638E">
        <w:t xml:space="preserve"> provision. However, </w:t>
      </w:r>
      <w:r w:rsidR="001B0083">
        <w:t>a copy of the amended</w:t>
      </w:r>
      <w:r w:rsidR="00227055" w:rsidRPr="00F2638E">
        <w:t xml:space="preserve"> </w:t>
      </w:r>
      <w:r w:rsidR="001B0083">
        <w:t>ethics</w:t>
      </w:r>
      <w:r w:rsidR="00227055" w:rsidRPr="00F2638E">
        <w:t xml:space="preserve"> application and</w:t>
      </w:r>
      <w:r w:rsidR="002D6E91">
        <w:t xml:space="preserve"> associated</w:t>
      </w:r>
      <w:r w:rsidR="00227055" w:rsidRPr="00F2638E">
        <w:t xml:space="preserve"> approval letter </w:t>
      </w:r>
      <w:r w:rsidR="001B0083">
        <w:t xml:space="preserve">must be submitted </w:t>
      </w:r>
      <w:r w:rsidR="002D6E91">
        <w:t xml:space="preserve">to ADTB </w:t>
      </w:r>
      <w:r w:rsidR="001B0083">
        <w:t>as part of the</w:t>
      </w:r>
      <w:r w:rsidR="00227055" w:rsidRPr="00F2638E">
        <w:t xml:space="preserve"> Annual Progress Report.</w:t>
      </w:r>
      <w:r w:rsidR="007E4FEE" w:rsidRPr="00227055">
        <w:t xml:space="preserve"> </w:t>
      </w:r>
    </w:p>
    <w:p w14:paraId="1FCFD917" w14:textId="129984DC" w:rsidR="0042040F" w:rsidRPr="000665A1" w:rsidRDefault="00AC059B" w:rsidP="00F2638E">
      <w:pPr>
        <w:pStyle w:val="Heading2"/>
      </w:pPr>
      <w:r w:rsidRPr="0064513C">
        <w:t xml:space="preserve">Donor families are interested in </w:t>
      </w:r>
      <w:r w:rsidR="00AC405F">
        <w:t>the</w:t>
      </w:r>
      <w:r w:rsidRPr="0064513C">
        <w:t xml:space="preserve"> research their loved one’s donated samples have </w:t>
      </w:r>
      <w:r w:rsidR="001C014D" w:rsidRPr="0064513C">
        <w:t>supported</w:t>
      </w:r>
      <w:r w:rsidRPr="0064513C">
        <w:t>.</w:t>
      </w:r>
      <w:r w:rsidR="00465A13" w:rsidRPr="0064513C">
        <w:t xml:space="preserve"> </w:t>
      </w:r>
      <w:r w:rsidR="00DF4CB0" w:rsidRPr="0064513C">
        <w:t xml:space="preserve">Researchers </w:t>
      </w:r>
      <w:r w:rsidR="00DB06D7">
        <w:t>may be</w:t>
      </w:r>
      <w:r w:rsidR="00DB06D7" w:rsidRPr="0064513C">
        <w:t xml:space="preserve"> </w:t>
      </w:r>
      <w:r w:rsidR="005C5D04">
        <w:t>asked</w:t>
      </w:r>
      <w:r w:rsidR="00DF4CB0" w:rsidRPr="0064513C">
        <w:t xml:space="preserve"> to provide a </w:t>
      </w:r>
      <w:r w:rsidR="0042040F">
        <w:t>short</w:t>
      </w:r>
      <w:r w:rsidR="00DF4CB0" w:rsidRPr="0064513C">
        <w:t xml:space="preserve"> </w:t>
      </w:r>
      <w:r w:rsidR="005C5D04">
        <w:t xml:space="preserve">testimonial </w:t>
      </w:r>
      <w:r w:rsidR="00606ECF">
        <w:t>about</w:t>
      </w:r>
      <w:r w:rsidR="005C5D04">
        <w:t xml:space="preserve"> the benefits of</w:t>
      </w:r>
      <w:r w:rsidR="00606ECF">
        <w:t xml:space="preserve"> using</w:t>
      </w:r>
      <w:r w:rsidR="005C5D04">
        <w:t xml:space="preserve"> ADTB sample</w:t>
      </w:r>
      <w:r w:rsidR="00606ECF">
        <w:t>s</w:t>
      </w:r>
      <w:r w:rsidR="005C5D04">
        <w:t xml:space="preserve"> </w:t>
      </w:r>
      <w:r w:rsidR="00606ECF">
        <w:t>for</w:t>
      </w:r>
      <w:r w:rsidR="005C5D04">
        <w:t xml:space="preserve"> their research</w:t>
      </w:r>
      <w:r w:rsidR="00975EBE">
        <w:t xml:space="preserve"> </w:t>
      </w:r>
      <w:r w:rsidR="0042040F" w:rsidRPr="000665A1">
        <w:t>for publication on the ADTB website</w:t>
      </w:r>
      <w:r w:rsidR="00606ECF">
        <w:t xml:space="preserve"> (adtbiobank.org)</w:t>
      </w:r>
      <w:r w:rsidR="0042040F">
        <w:t xml:space="preserve">. </w:t>
      </w:r>
    </w:p>
    <w:p w14:paraId="5FAF66F6" w14:textId="10D695C7" w:rsidR="3CE417CD" w:rsidRDefault="523BA55A" w:rsidP="00DC2D60">
      <w:pPr>
        <w:pStyle w:val="Heading2"/>
      </w:pPr>
      <w:r w:rsidRPr="0064513C">
        <w:t xml:space="preserve">The ADTB is an investigator-led </w:t>
      </w:r>
      <w:r w:rsidRPr="004B4973">
        <w:t>project</w:t>
      </w:r>
      <w:r w:rsidR="007D5209" w:rsidRPr="004B4973">
        <w:t xml:space="preserve"> </w:t>
      </w:r>
      <w:r w:rsidR="007D5209" w:rsidRPr="00F2638E">
        <w:t>and is reliant on the goodwill of transplant surgeons and DonateLife Victoria.</w:t>
      </w:r>
      <w:r w:rsidR="007D5209" w:rsidRPr="004B4973">
        <w:t xml:space="preserve"> </w:t>
      </w:r>
      <w:r w:rsidR="007D5209" w:rsidRPr="00F2638E">
        <w:t xml:space="preserve">The ADTB requests that people who are crucial to ADTB sample collection and provision are considered </w:t>
      </w:r>
      <w:r w:rsidR="007D5209" w:rsidRPr="004B4973">
        <w:t>for co-authorship in any publication or presentations at scientific meetings</w:t>
      </w:r>
      <w:r w:rsidR="005901F2">
        <w:t xml:space="preserve"> </w:t>
      </w:r>
      <w:r w:rsidR="005901F2" w:rsidRPr="004B4973">
        <w:t xml:space="preserve">of </w:t>
      </w:r>
      <w:r w:rsidR="005901F2">
        <w:t>ADTB-supported</w:t>
      </w:r>
      <w:r w:rsidR="005901F2" w:rsidRPr="004B4973">
        <w:t xml:space="preserve"> research</w:t>
      </w:r>
      <w:r w:rsidRPr="004B4973">
        <w:t>.</w:t>
      </w:r>
      <w:r w:rsidR="004B4973" w:rsidRPr="00F2638E">
        <w:t xml:space="preserve"> Please contact ADTB to discuss authorship considerations which may vary depending on which donor samples were provided</w:t>
      </w:r>
      <w:r w:rsidR="3CE417CD" w:rsidRPr="004B4973">
        <w:t xml:space="preserve">. Consideration </w:t>
      </w:r>
      <w:r w:rsidR="3CE417CD" w:rsidRPr="0064513C">
        <w:t>for authorship for ADTB investigators and team should be according to ICMJE recommendation.</w:t>
      </w:r>
    </w:p>
    <w:p w14:paraId="755B2475" w14:textId="1347FD17" w:rsidR="00B833AD" w:rsidRPr="00F2638E" w:rsidRDefault="00B833AD" w:rsidP="00F2638E">
      <w:pPr>
        <w:ind w:left="576"/>
      </w:pPr>
      <w:hyperlink r:id="rId14" w:history="1">
        <w:r w:rsidRPr="00231F23">
          <w:rPr>
            <w:rStyle w:val="Hyperlink"/>
          </w:rPr>
          <w:t>https://www.icmje.org/recommendations/browse/roles-and-responsibilities/defining-the-role-of-authors-and-contributors.html</w:t>
        </w:r>
      </w:hyperlink>
      <w:r>
        <w:t xml:space="preserve"> </w:t>
      </w:r>
    </w:p>
    <w:p w14:paraId="614FEC04" w14:textId="7E7AA482" w:rsidR="25451D4D" w:rsidRDefault="25451D4D" w:rsidP="00F2638E">
      <w:pPr>
        <w:pStyle w:val="Heading2"/>
      </w:pPr>
      <w:r>
        <w:t xml:space="preserve">The </w:t>
      </w:r>
      <w:r w:rsidR="0C6F2063">
        <w:t xml:space="preserve">deceased </w:t>
      </w:r>
      <w:r w:rsidR="031857F7">
        <w:t xml:space="preserve">organ </w:t>
      </w:r>
      <w:r>
        <w:t>donor</w:t>
      </w:r>
      <w:r w:rsidR="47454AFA">
        <w:t xml:space="preserve"> and their</w:t>
      </w:r>
      <w:r>
        <w:t xml:space="preserve"> families </w:t>
      </w:r>
      <w:r w:rsidR="005E109A">
        <w:t xml:space="preserve">must </w:t>
      </w:r>
      <w:r>
        <w:t>be acknowledged</w:t>
      </w:r>
      <w:r w:rsidR="005E109A">
        <w:t xml:space="preserve"> in publications</w:t>
      </w:r>
      <w:r>
        <w:t xml:space="preserve"> by using the following statement:</w:t>
      </w:r>
      <w:r w:rsidR="75266833">
        <w:t xml:space="preserve"> </w:t>
      </w:r>
      <w:r w:rsidR="0096775F">
        <w:t>“</w:t>
      </w:r>
      <w:r w:rsidR="2CD231C9">
        <w:t xml:space="preserve">We gratefully acknowledge the generosity of the </w:t>
      </w:r>
      <w:r w:rsidR="78C80BA3" w:rsidRPr="1718A0D7">
        <w:rPr>
          <w:rFonts w:eastAsia="Arial"/>
        </w:rPr>
        <w:t>deceased organ donors and their families i</w:t>
      </w:r>
      <w:r w:rsidR="2CD231C9">
        <w:t>n providing valuable tissue samples</w:t>
      </w:r>
      <w:r w:rsidR="272306DC">
        <w:t xml:space="preserve"> to advance medical research</w:t>
      </w:r>
      <w:r w:rsidR="2CD231C9">
        <w:t>.”</w:t>
      </w:r>
    </w:p>
    <w:p w14:paraId="590DF6B7" w14:textId="11BD9EDD" w:rsidR="5499D108" w:rsidRDefault="4C7E38ED" w:rsidP="00F2638E">
      <w:pPr>
        <w:pStyle w:val="Heading2"/>
      </w:pPr>
      <w:r>
        <w:t>ADTB is supported by several funding agencies which should be acknowledged using the following statement: “The Australian Donation and Transplantation Biobank is supported by</w:t>
      </w:r>
      <w:r w:rsidR="2F03AD9F">
        <w:t xml:space="preserve"> </w:t>
      </w:r>
      <w:r w:rsidR="08C21055">
        <w:t>t</w:t>
      </w:r>
      <w:r w:rsidR="2F03AD9F" w:rsidRPr="1718A0D7">
        <w:rPr>
          <w:rFonts w:eastAsia="Arial"/>
        </w:rPr>
        <w:t xml:space="preserve">he </w:t>
      </w:r>
      <w:r w:rsidR="0038573E" w:rsidRPr="00F2638E">
        <w:t>Department of Infectious Diseases and Immunology and the Australian Centre for Transplant Excellence and Research (ACTER) at Austin Health.”</w:t>
      </w:r>
    </w:p>
    <w:p w14:paraId="4C733A5B" w14:textId="3E20C086" w:rsidR="0042040F" w:rsidRPr="0064513C" w:rsidRDefault="001309FA" w:rsidP="00B15FBA">
      <w:r>
        <w:rPr>
          <w:rFonts w:cs="Arial"/>
          <w:noProof/>
        </w:rPr>
        <w:pict w14:anchorId="2BE5AB85">
          <v:rect id="_x0000_i1028" alt="" style="width:451.3pt;height:1.5pt;mso-width-percent:0;mso-height-percent:0;mso-width-percent:0;mso-height-percent:0" o:hralign="center" o:hrstd="t" o:hrnoshade="t" o:hr="t" fillcolor="#252567" stroked="f"/>
        </w:pict>
      </w:r>
    </w:p>
    <w:p w14:paraId="26F420BF" w14:textId="48A74FED" w:rsidR="00892568" w:rsidRPr="00544657" w:rsidRDefault="004830F9" w:rsidP="00B15FBA">
      <w:pPr>
        <w:pStyle w:val="Heading1"/>
      </w:pPr>
      <w:bookmarkStart w:id="12" w:name="_Toc195106190"/>
      <w:r w:rsidRPr="00544657">
        <w:t>Data</w:t>
      </w:r>
      <w:bookmarkEnd w:id="12"/>
      <w:r w:rsidRPr="00544657">
        <w:t xml:space="preserve"> </w:t>
      </w:r>
    </w:p>
    <w:p w14:paraId="1BC9719A" w14:textId="55B2144F" w:rsidR="00037BE6" w:rsidRDefault="004830F9" w:rsidP="00F2638E">
      <w:pPr>
        <w:pStyle w:val="Heading2"/>
      </w:pPr>
      <w:r w:rsidRPr="0064513C">
        <w:t xml:space="preserve">Data is provided in de-identified (coded) format. The </w:t>
      </w:r>
      <w:r w:rsidR="7A683547" w:rsidRPr="0064513C">
        <w:t xml:space="preserve">ADTB </w:t>
      </w:r>
      <w:r w:rsidRPr="0064513C">
        <w:t xml:space="preserve">maintains the re-identifying link between </w:t>
      </w:r>
      <w:r w:rsidR="00BA21D6">
        <w:t xml:space="preserve">organ </w:t>
      </w:r>
      <w:r w:rsidR="000631D8">
        <w:t>donors</w:t>
      </w:r>
      <w:r w:rsidR="000631D8" w:rsidRPr="0064513C">
        <w:t xml:space="preserve"> </w:t>
      </w:r>
      <w:r w:rsidRPr="0064513C">
        <w:t xml:space="preserve">and their data. </w:t>
      </w:r>
    </w:p>
    <w:p w14:paraId="289A6E76" w14:textId="2BC1F30B" w:rsidR="004830F9" w:rsidRPr="0064513C" w:rsidRDefault="00037BE6" w:rsidP="00F2638E">
      <w:pPr>
        <w:pStyle w:val="Heading2"/>
      </w:pPr>
      <w:r>
        <w:t>Researchers should indicate which clinical data they require in both the ADTB Sample Access Form and the project protocol.</w:t>
      </w:r>
    </w:p>
    <w:p w14:paraId="266D85B3" w14:textId="7BCA8E3D" w:rsidR="00892568" w:rsidRPr="0064513C" w:rsidRDefault="002C4520" w:rsidP="00F2638E">
      <w:pPr>
        <w:pStyle w:val="Heading2"/>
      </w:pPr>
      <w:r>
        <w:t xml:space="preserve">Category 1 Data will be provided to researchers before the donation surgery to assist in their decision to accept samples. Routine or pre-approved </w:t>
      </w:r>
      <w:r w:rsidR="00037BE6">
        <w:t>Category 2 D</w:t>
      </w:r>
      <w:r>
        <w:t xml:space="preserve">ata will be provided to researchers within a week of the donation surgery or within 2 weeks of an additional request. </w:t>
      </w:r>
      <w:r w:rsidR="00037BE6">
        <w:t xml:space="preserve">In some </w:t>
      </w:r>
      <w:proofErr w:type="gramStart"/>
      <w:r w:rsidR="00037BE6">
        <w:t>cases</w:t>
      </w:r>
      <w:proofErr w:type="gramEnd"/>
      <w:r w:rsidR="00037BE6">
        <w:t xml:space="preserve"> and with prior approval, Category 2 Data may be provided before the donation surgery. The variables included in each category are outlined below:</w:t>
      </w:r>
      <w:r>
        <w:t xml:space="preserve"> </w:t>
      </w:r>
    </w:p>
    <w:p w14:paraId="1D5450C8" w14:textId="24BFA5FC" w:rsidR="004830F9" w:rsidRPr="0064513C" w:rsidRDefault="004830F9" w:rsidP="00F2638E">
      <w:pPr>
        <w:pStyle w:val="ListParagraph"/>
        <w:numPr>
          <w:ilvl w:val="0"/>
          <w:numId w:val="12"/>
        </w:numPr>
      </w:pPr>
      <w:r w:rsidRPr="0064513C">
        <w:lastRenderedPageBreak/>
        <w:t xml:space="preserve">Category 1 Data: </w:t>
      </w:r>
      <w:r w:rsidR="00EC26E9">
        <w:t>A</w:t>
      </w:r>
      <w:r w:rsidRPr="0064513C">
        <w:t>ge, sex</w:t>
      </w:r>
      <w:r w:rsidR="7728FDAA" w:rsidRPr="0064513C">
        <w:t>,</w:t>
      </w:r>
      <w:r w:rsidRPr="0064513C">
        <w:t xml:space="preserve"> </w:t>
      </w:r>
      <w:r w:rsidR="7485D105" w:rsidRPr="0064513C">
        <w:t>type of donation</w:t>
      </w:r>
      <w:r w:rsidR="00EC26E9">
        <w:t xml:space="preserve"> (circulatory or brain death),</w:t>
      </w:r>
      <w:r w:rsidR="478F48F8" w:rsidRPr="0064513C">
        <w:t xml:space="preserve"> </w:t>
      </w:r>
      <w:r w:rsidR="004D1126">
        <w:t>active HBV/HCV/HIV infection</w:t>
      </w:r>
      <w:r w:rsidR="00BD4796" w:rsidRPr="00BD4796">
        <w:t xml:space="preserve">, </w:t>
      </w:r>
      <w:r w:rsidR="00BD4796" w:rsidRPr="00F2638E">
        <w:t>HLA typing (only if relevant to the decision to accept donor)</w:t>
      </w:r>
    </w:p>
    <w:p w14:paraId="344923CD" w14:textId="674F76B5" w:rsidR="004D1126" w:rsidRDefault="004830F9" w:rsidP="009C3F3C">
      <w:pPr>
        <w:pStyle w:val="ListParagraph"/>
        <w:numPr>
          <w:ilvl w:val="0"/>
          <w:numId w:val="12"/>
        </w:numPr>
      </w:pPr>
      <w:r w:rsidRPr="0064513C">
        <w:t xml:space="preserve">Category 2 Data: </w:t>
      </w:r>
      <w:r w:rsidR="00EC26E9">
        <w:t xml:space="preserve">Cause of death, co-morbidities, smoking status, </w:t>
      </w:r>
      <w:r w:rsidR="4C8F42F6" w:rsidRPr="0064513C">
        <w:t>HLA</w:t>
      </w:r>
      <w:r w:rsidR="00EC26E9">
        <w:t xml:space="preserve"> typing</w:t>
      </w:r>
      <w:r w:rsidR="4C8F42F6" w:rsidRPr="0064513C">
        <w:t>, medications</w:t>
      </w:r>
      <w:r w:rsidR="397C8C31" w:rsidRPr="0064513C">
        <w:t>, microbiological results, details of donation operation (e.g. warm ischemia time)</w:t>
      </w:r>
      <w:r w:rsidR="004D1126">
        <w:t xml:space="preserve">, </w:t>
      </w:r>
      <w:r w:rsidR="004D1126" w:rsidRPr="009B32EF">
        <w:t>screening serology</w:t>
      </w:r>
      <w:r w:rsidR="004149A8">
        <w:t>, vaccination history</w:t>
      </w:r>
    </w:p>
    <w:p w14:paraId="2E3BD8F6" w14:textId="65CD7741" w:rsidR="002A61E8" w:rsidRPr="002A61E8" w:rsidRDefault="002A61E8" w:rsidP="00F2638E">
      <w:pPr>
        <w:pStyle w:val="Heading2"/>
      </w:pPr>
      <w:r w:rsidRPr="00F2638E">
        <w:t xml:space="preserve">Researchers accessing stored derivates (“secondary research projects”) can request clinical data of donors which the derivates were derived from by emailing </w:t>
      </w:r>
      <w:hyperlink r:id="rId15" w:history="1">
        <w:r w:rsidRPr="002A61E8">
          <w:rPr>
            <w:rStyle w:val="Hyperlink"/>
            <w:color w:val="auto"/>
            <w:u w:val="none"/>
          </w:rPr>
          <w:t>adtb@austin.org.au</w:t>
        </w:r>
      </w:hyperlink>
      <w:r w:rsidRPr="00F2638E">
        <w:t xml:space="preserve">. </w:t>
      </w:r>
    </w:p>
    <w:p w14:paraId="61BE7848" w14:textId="7F79DDB2" w:rsidR="00F15215" w:rsidRDefault="001309FA" w:rsidP="00B15FBA">
      <w:r>
        <w:rPr>
          <w:noProof/>
        </w:rPr>
        <w:pict w14:anchorId="70D6E771">
          <v:rect id="_x0000_i1029" alt="" style="width:451.3pt;height:1.5pt;mso-width-percent:0;mso-height-percent:0;mso-width-percent:0;mso-height-percent:0" o:hralign="center" o:hrstd="t" o:hrnoshade="t" o:hr="t" fillcolor="#252567" stroked="f"/>
        </w:pict>
      </w:r>
    </w:p>
    <w:p w14:paraId="18ACC26B" w14:textId="6F5E5B88" w:rsidR="00892568" w:rsidRPr="00544657" w:rsidRDefault="004830F9" w:rsidP="00B15FBA">
      <w:pPr>
        <w:pStyle w:val="Heading1"/>
      </w:pPr>
      <w:bookmarkStart w:id="13" w:name="_Toc195106191"/>
      <w:r w:rsidRPr="00544657">
        <w:t>Biospecimens</w:t>
      </w:r>
      <w:bookmarkEnd w:id="13"/>
      <w:r w:rsidRPr="00544657">
        <w:t xml:space="preserve"> </w:t>
      </w:r>
    </w:p>
    <w:p w14:paraId="6B494DA9" w14:textId="46591633" w:rsidR="00B92946" w:rsidRDefault="00B92946" w:rsidP="00F2638E">
      <w:pPr>
        <w:pStyle w:val="Heading2"/>
      </w:pPr>
      <w:r>
        <w:t xml:space="preserve">ADTB’s </w:t>
      </w:r>
      <w:r w:rsidR="00CB648C">
        <w:t>office</w:t>
      </w:r>
      <w:r>
        <w:t xml:space="preserve"> hours a</w:t>
      </w:r>
      <w:r w:rsidR="00CB648C">
        <w:t xml:space="preserve">re Monday to Friday, </w:t>
      </w:r>
      <w:r w:rsidR="002A61E8">
        <w:t xml:space="preserve">9 </w:t>
      </w:r>
      <w:r w:rsidR="00CB648C">
        <w:t>am to 5</w:t>
      </w:r>
      <w:r w:rsidR="002A61E8">
        <w:t xml:space="preserve"> </w:t>
      </w:r>
      <w:r w:rsidR="00CB648C">
        <w:t>pm, however</w:t>
      </w:r>
      <w:r>
        <w:t xml:space="preserve"> </w:t>
      </w:r>
      <w:r w:rsidR="00CB648C">
        <w:t>n</w:t>
      </w:r>
      <w:r>
        <w:t xml:space="preserve">otification of available donor samples </w:t>
      </w:r>
      <w:r w:rsidR="00C977F5">
        <w:t xml:space="preserve">can occur outside of </w:t>
      </w:r>
      <w:r w:rsidR="004B3794">
        <w:t>office</w:t>
      </w:r>
      <w:r w:rsidR="00C977F5">
        <w:t xml:space="preserve"> hours. </w:t>
      </w:r>
      <w:r w:rsidR="00C977F5" w:rsidRPr="00F2638E">
        <w:t xml:space="preserve">To allow sufficient time for the </w:t>
      </w:r>
      <w:r w:rsidR="004B3794">
        <w:t xml:space="preserve">surgical </w:t>
      </w:r>
      <w:r w:rsidR="00C977F5" w:rsidRPr="00F2638E">
        <w:t>retrieval t</w:t>
      </w:r>
      <w:r w:rsidR="004B3794">
        <w:t>eam</w:t>
      </w:r>
      <w:r w:rsidR="00C977F5" w:rsidRPr="00F2638E">
        <w:t xml:space="preserve"> to prepare for ADTB sample collection, researchers must submit all requests for donor samples before the time specified in the ADTB WhatsApp group.</w:t>
      </w:r>
      <w:r w:rsidR="00396B68">
        <w:t xml:space="preserve"> Sample requests can be submitted using </w:t>
      </w:r>
      <w:r w:rsidR="0024290C">
        <w:t>a</w:t>
      </w:r>
      <w:r w:rsidR="00396B68">
        <w:t xml:space="preserve"> RED</w:t>
      </w:r>
      <w:r w:rsidR="00E8165C">
        <w:t>C</w:t>
      </w:r>
      <w:r w:rsidR="00396B68">
        <w:t>ap Sample Request Form</w:t>
      </w:r>
      <w:r w:rsidR="00E00F62">
        <w:t xml:space="preserve"> which will contain basic in</w:t>
      </w:r>
      <w:r w:rsidR="0024290C">
        <w:t>formation about the prospective donor. A link to the Sample Request Form will be emailed as soon as a donor offer is made.</w:t>
      </w:r>
    </w:p>
    <w:p w14:paraId="705644B5" w14:textId="2B6829C5" w:rsidR="004830F9" w:rsidRDefault="47011B70" w:rsidP="002A61E8">
      <w:pPr>
        <w:pStyle w:val="Heading2"/>
      </w:pPr>
      <w:r w:rsidRPr="0064513C">
        <w:t xml:space="preserve">Blood and fresh tissue </w:t>
      </w:r>
      <w:r w:rsidR="00C977F5">
        <w:t>are routinely</w:t>
      </w:r>
      <w:r w:rsidRPr="0064513C">
        <w:t xml:space="preserve"> </w:t>
      </w:r>
      <w:r w:rsidR="00666A6B">
        <w:t>transported</w:t>
      </w:r>
      <w:r w:rsidR="00666A6B" w:rsidRPr="0064513C">
        <w:t xml:space="preserve"> </w:t>
      </w:r>
      <w:r w:rsidRPr="0064513C">
        <w:t xml:space="preserve">on ice to the </w:t>
      </w:r>
      <w:r w:rsidR="00ED15DB">
        <w:t xml:space="preserve">research project </w:t>
      </w:r>
      <w:r w:rsidR="00666A6B">
        <w:t>by a third-party courier service</w:t>
      </w:r>
      <w:r w:rsidR="00C977F5">
        <w:t xml:space="preserve"> when delivery is from Monday to Friday</w:t>
      </w:r>
      <w:r w:rsidRPr="0064513C">
        <w:t xml:space="preserve">. </w:t>
      </w:r>
      <w:r w:rsidR="003C52AD" w:rsidRPr="00F2638E">
        <w:t>For same-day delivery, the time from sample collection to sample distribution is approximately 1 to 6 hours for delivery in Melbourne. Samples delivered same day in Melbourne typically arrive in the late afternoon or evening. For next-day delivery, time from sample collection to sample distribution is approximately 18 to 24 hours for Melbourne delivery. Samples delivered the next day are usually delivered in the mid to late morning. Researchers can also opt to collect their samples from Austin Health at their own expense.</w:t>
      </w:r>
    </w:p>
    <w:p w14:paraId="7176D534" w14:textId="6DFA5D97" w:rsidR="00087FA0" w:rsidRPr="00087FA0" w:rsidRDefault="00087FA0" w:rsidP="00F2638E">
      <w:pPr>
        <w:pStyle w:val="Heading2"/>
      </w:pPr>
      <w:r w:rsidRPr="00F2638E">
        <w:t>ADTB does not transport samples by a third-party courier on the weekends or public holidays. However, researchers are welcome to pick up their samples from Austin Health at their own expense.</w:t>
      </w:r>
    </w:p>
    <w:p w14:paraId="52DE8A81" w14:textId="6B384F46" w:rsidR="02EFCB05" w:rsidRPr="0064513C" w:rsidRDefault="02EFCB05" w:rsidP="00F2638E">
      <w:pPr>
        <w:pStyle w:val="Heading2"/>
      </w:pPr>
      <w:r w:rsidRPr="0064513C">
        <w:t>Tissue</w:t>
      </w:r>
      <w:r w:rsidR="149E2829" w:rsidRPr="0064513C">
        <w:t xml:space="preserve"> samples</w:t>
      </w:r>
      <w:r w:rsidRPr="0064513C">
        <w:t xml:space="preserve"> will </w:t>
      </w:r>
      <w:r w:rsidR="63353869" w:rsidRPr="0064513C">
        <w:t>typically be</w:t>
      </w:r>
      <w:r w:rsidRPr="0064513C">
        <w:t xml:space="preserve"> suspended in </w:t>
      </w:r>
      <w:r w:rsidR="00087FA0">
        <w:t>saline</w:t>
      </w:r>
      <w:r w:rsidR="2A72B77A" w:rsidRPr="0064513C">
        <w:t xml:space="preserve"> during the donation operation and taken to Austin </w:t>
      </w:r>
      <w:r w:rsidR="2A72B77A" w:rsidRPr="003A5687">
        <w:t xml:space="preserve">Health on ice. </w:t>
      </w:r>
      <w:r w:rsidR="003A5687" w:rsidRPr="00F2638E">
        <w:t xml:space="preserve">For same-day delivery, samples will be re-suspended in RPMI supplemented with 2% FBS (without </w:t>
      </w:r>
      <w:proofErr w:type="spellStart"/>
      <w:r w:rsidR="003A5687" w:rsidRPr="00F2638E">
        <w:t>Glutamax</w:t>
      </w:r>
      <w:proofErr w:type="spellEnd"/>
      <w:r w:rsidR="003A5687" w:rsidRPr="00F2638E">
        <w:t xml:space="preserve">). For next-day delivery, samples will be re-suspended in RPMI supplemented with 5% FBS and </w:t>
      </w:r>
      <w:proofErr w:type="spellStart"/>
      <w:r w:rsidR="003A5687" w:rsidRPr="00F2638E">
        <w:t>Glutamax</w:t>
      </w:r>
      <w:proofErr w:type="spellEnd"/>
      <w:r w:rsidR="003A5687" w:rsidRPr="003A5687">
        <w:t xml:space="preserve">. </w:t>
      </w:r>
      <w:r w:rsidR="00666A6B" w:rsidRPr="003A5687">
        <w:t>Alternative</w:t>
      </w:r>
      <w:r w:rsidR="332B79CB" w:rsidRPr="003A5687">
        <w:t xml:space="preserve"> collection </w:t>
      </w:r>
      <w:r w:rsidR="00666A6B" w:rsidRPr="00140CD7">
        <w:t xml:space="preserve">requirements </w:t>
      </w:r>
      <w:r w:rsidR="00140CD7" w:rsidRPr="00140CD7">
        <w:t>(i.e</w:t>
      </w:r>
      <w:r w:rsidR="00140CD7" w:rsidRPr="00F2638E">
        <w:t>. 10% neutral-buffered formalin)</w:t>
      </w:r>
      <w:r w:rsidR="00140CD7" w:rsidRPr="00140CD7">
        <w:t xml:space="preserve"> </w:t>
      </w:r>
      <w:r w:rsidR="00666A6B" w:rsidRPr="003A5687">
        <w:t>may be accommodated:</w:t>
      </w:r>
      <w:r w:rsidR="332B79CB" w:rsidRPr="003A5687">
        <w:t xml:space="preserve"> please include </w:t>
      </w:r>
      <w:r w:rsidR="00666A6B" w:rsidRPr="003A5687">
        <w:t xml:space="preserve">these </w:t>
      </w:r>
      <w:r w:rsidR="332B79CB" w:rsidRPr="003A5687">
        <w:t>details in the Sample</w:t>
      </w:r>
      <w:r w:rsidR="332B79CB" w:rsidRPr="0064513C">
        <w:t xml:space="preserve"> Access Form.</w:t>
      </w:r>
    </w:p>
    <w:p w14:paraId="6F574869" w14:textId="75F77AFC" w:rsidR="004830F9" w:rsidRDefault="0029456E" w:rsidP="002A61E8">
      <w:pPr>
        <w:pStyle w:val="Heading2"/>
      </w:pPr>
      <w:r>
        <w:t xml:space="preserve">ADTB stores samples for use in future </w:t>
      </w:r>
      <w:r w:rsidRPr="00F70B43">
        <w:t xml:space="preserve">research. </w:t>
      </w:r>
      <w:r w:rsidR="00F70B43" w:rsidRPr="00F70B43">
        <w:t xml:space="preserve">Tissues can be preserved through freezing or fixation. </w:t>
      </w:r>
      <w:r w:rsidR="00F70B43" w:rsidRPr="00F2638E">
        <w:t>For freezing, samples can be snap-frozen. For fixation, tissues will be placed in 10% neutral-buffered formalin for approximately 24 hours</w:t>
      </w:r>
      <w:r w:rsidR="00D55CB5">
        <w:t xml:space="preserve"> and then</w:t>
      </w:r>
      <w:r w:rsidR="00F70B43" w:rsidRPr="00F2638E">
        <w:t xml:space="preserve"> transferred to a 70% ethanol solution and sent for paraffin embedding. </w:t>
      </w:r>
      <w:r w:rsidR="00B64A9F" w:rsidRPr="00F70B43">
        <w:t>Alternative collection</w:t>
      </w:r>
      <w:r w:rsidR="00B64A9F" w:rsidRPr="00435EC3">
        <w:t xml:space="preserve"> </w:t>
      </w:r>
      <w:r w:rsidR="00B64A9F">
        <w:t>requirements may be accommodated:</w:t>
      </w:r>
      <w:r w:rsidR="00B64A9F" w:rsidRPr="00435EC3">
        <w:t xml:space="preserve"> please include </w:t>
      </w:r>
      <w:r w:rsidR="00B64A9F">
        <w:t xml:space="preserve">these </w:t>
      </w:r>
      <w:r w:rsidR="00B64A9F" w:rsidRPr="00435EC3">
        <w:t>details in the Sample Access Form.</w:t>
      </w:r>
    </w:p>
    <w:p w14:paraId="1E6819C0" w14:textId="5E4154A9" w:rsidR="006A391B" w:rsidRDefault="001309FA" w:rsidP="00B15FBA">
      <w:r>
        <w:rPr>
          <w:noProof/>
        </w:rPr>
        <w:pict w14:anchorId="36EDAD31">
          <v:rect id="_x0000_i1030" alt="" style="width:451.3pt;height:1.5pt;mso-width-percent:0;mso-height-percent:0;mso-width-percent:0;mso-height-percent:0" o:hralign="center" o:hrstd="t" o:hrnoshade="t" o:hr="t" fillcolor="#252567" stroked="f"/>
        </w:pict>
      </w:r>
    </w:p>
    <w:p w14:paraId="7CE67E3C" w14:textId="3B6AD4C4" w:rsidR="00892568" w:rsidRPr="00544657" w:rsidRDefault="004830F9" w:rsidP="00B15FBA">
      <w:pPr>
        <w:pStyle w:val="Heading1"/>
      </w:pPr>
      <w:bookmarkStart w:id="14" w:name="_Toc195106192"/>
      <w:r w:rsidRPr="00544657">
        <w:t>Disclaimers</w:t>
      </w:r>
      <w:bookmarkEnd w:id="14"/>
      <w:r w:rsidRPr="00544657">
        <w:t xml:space="preserve"> </w:t>
      </w:r>
    </w:p>
    <w:p w14:paraId="74EB7DE9" w14:textId="6D9ED36B" w:rsidR="00666A6B" w:rsidRPr="000665A1" w:rsidRDefault="00666A6B" w:rsidP="00F2638E">
      <w:pPr>
        <w:pStyle w:val="Heading2"/>
      </w:pPr>
      <w:r w:rsidRPr="000665A1">
        <w:t xml:space="preserve">Biospecimens and data supplied by the ADTB may </w:t>
      </w:r>
      <w:r w:rsidR="00E54AD5">
        <w:t>only be</w:t>
      </w:r>
      <w:r w:rsidRPr="000665A1">
        <w:t xml:space="preserve"> used for </w:t>
      </w:r>
      <w:r w:rsidR="000E0259">
        <w:t xml:space="preserve">research </w:t>
      </w:r>
      <w:r w:rsidRPr="000665A1">
        <w:t>purposes as stated in the ADTB Material Transfer Agreement.</w:t>
      </w:r>
    </w:p>
    <w:p w14:paraId="094A4191" w14:textId="01EB976B" w:rsidR="00666A6B" w:rsidRPr="000665A1" w:rsidRDefault="00666A6B" w:rsidP="00F2638E">
      <w:pPr>
        <w:pStyle w:val="Heading2"/>
      </w:pPr>
      <w:r w:rsidRPr="000665A1">
        <w:t>Researchers must not attempt to identify any ADTB donor.</w:t>
      </w:r>
    </w:p>
    <w:p w14:paraId="710B24C8" w14:textId="31771851" w:rsidR="00892568" w:rsidRPr="0064513C" w:rsidRDefault="004830F9" w:rsidP="00F2638E">
      <w:pPr>
        <w:pStyle w:val="Heading2"/>
      </w:pPr>
      <w:r w:rsidRPr="0064513C">
        <w:t xml:space="preserve">Biospecimens for the </w:t>
      </w:r>
      <w:r w:rsidR="4243648C" w:rsidRPr="0064513C">
        <w:t xml:space="preserve">ADTB </w:t>
      </w:r>
      <w:r w:rsidRPr="0064513C">
        <w:t xml:space="preserve">are selected with great care by </w:t>
      </w:r>
      <w:r w:rsidR="3AD7AD4A" w:rsidRPr="0064513C">
        <w:t>surgeons</w:t>
      </w:r>
      <w:r w:rsidRPr="0064513C">
        <w:t xml:space="preserve">; however, the </w:t>
      </w:r>
      <w:r w:rsidR="39F66341" w:rsidRPr="0064513C">
        <w:t>ADTB</w:t>
      </w:r>
      <w:r w:rsidRPr="0064513C">
        <w:t xml:space="preserve"> accept</w:t>
      </w:r>
      <w:r w:rsidR="25F04E10" w:rsidRPr="0064513C">
        <w:t>s</w:t>
      </w:r>
      <w:r w:rsidRPr="0064513C">
        <w:t xml:space="preserve"> no responsibility for the inadvertent provision of incorrect materials or data. </w:t>
      </w:r>
      <w:r w:rsidR="00C5442F" w:rsidRPr="00F2638E">
        <w:t>Please notify ADTB if incorrect materials or data have been received.</w:t>
      </w:r>
    </w:p>
    <w:p w14:paraId="4DFDED0D" w14:textId="62229DF9" w:rsidR="00892568" w:rsidRPr="0064513C" w:rsidRDefault="004830F9" w:rsidP="00F2638E">
      <w:pPr>
        <w:pStyle w:val="Heading2"/>
      </w:pPr>
      <w:r w:rsidRPr="0064513C">
        <w:lastRenderedPageBreak/>
        <w:t xml:space="preserve">The </w:t>
      </w:r>
      <w:r w:rsidR="0BF5526C" w:rsidRPr="0064513C">
        <w:t xml:space="preserve">ADTB </w:t>
      </w:r>
      <w:r w:rsidR="2943CB22" w:rsidRPr="0064513C">
        <w:t>receives</w:t>
      </w:r>
      <w:r w:rsidR="26F74CAB" w:rsidRPr="0064513C">
        <w:t xml:space="preserve"> information on </w:t>
      </w:r>
      <w:r w:rsidRPr="0064513C">
        <w:t>HIV, Hepatitis B</w:t>
      </w:r>
      <w:r w:rsidR="1F5FCE4C" w:rsidRPr="0064513C">
        <w:t xml:space="preserve"> and</w:t>
      </w:r>
      <w:r w:rsidR="5270FE31" w:rsidRPr="0064513C">
        <w:t xml:space="preserve"> </w:t>
      </w:r>
      <w:r w:rsidRPr="0064513C">
        <w:t>Hepatitis C</w:t>
      </w:r>
      <w:r w:rsidR="722F17EE" w:rsidRPr="0064513C">
        <w:t xml:space="preserve"> </w:t>
      </w:r>
      <w:r w:rsidR="02B3D979" w:rsidRPr="0064513C">
        <w:t xml:space="preserve">status </w:t>
      </w:r>
      <w:r w:rsidR="579127C5" w:rsidRPr="0064513C">
        <w:t>from DonateLife Victoria</w:t>
      </w:r>
      <w:r w:rsidR="2798B5FD" w:rsidRPr="0064513C">
        <w:t xml:space="preserve"> and will </w:t>
      </w:r>
      <w:r w:rsidR="00C33A06">
        <w:t xml:space="preserve">notify researchers if </w:t>
      </w:r>
      <w:r w:rsidR="00A56387">
        <w:t xml:space="preserve">the </w:t>
      </w:r>
      <w:r w:rsidR="00C33A06">
        <w:t xml:space="preserve">donor </w:t>
      </w:r>
      <w:r w:rsidR="00A56387">
        <w:t>has</w:t>
      </w:r>
      <w:r w:rsidR="00C33A06">
        <w:t xml:space="preserve"> active HIV, Hepatitis B or Hepati</w:t>
      </w:r>
      <w:r w:rsidR="00A56387">
        <w:t>s C infection (</w:t>
      </w:r>
      <w:r w:rsidR="00544657">
        <w:t>e.g.,</w:t>
      </w:r>
      <w:r w:rsidR="00A56387">
        <w:t xml:space="preserve"> nucleic acid test </w:t>
      </w:r>
      <w:r w:rsidR="00142231">
        <w:t xml:space="preserve">is </w:t>
      </w:r>
      <w:r w:rsidR="00A56387">
        <w:t>positive)</w:t>
      </w:r>
      <w:r w:rsidR="2798B5FD" w:rsidRPr="0064513C">
        <w:t>.</w:t>
      </w:r>
      <w:r w:rsidR="00125CDB">
        <w:t xml:space="preserve"> </w:t>
      </w:r>
      <w:r w:rsidR="008A3605">
        <w:t>However,</w:t>
      </w:r>
      <w:r w:rsidR="00125CDB" w:rsidRPr="00435EC3">
        <w:t xml:space="preserve"> screening for infectious agents </w:t>
      </w:r>
      <w:r w:rsidR="00C5442F">
        <w:t>does not detect all potential infections</w:t>
      </w:r>
      <w:r w:rsidR="008A3605">
        <w:t xml:space="preserve"> and</w:t>
      </w:r>
      <w:r w:rsidR="00125CDB" w:rsidRPr="00435EC3">
        <w:t xml:space="preserve"> all biospecimens should be treated as </w:t>
      </w:r>
      <w:r w:rsidR="00125CDB">
        <w:t xml:space="preserve">potentially </w:t>
      </w:r>
      <w:r w:rsidR="00125CDB" w:rsidRPr="00435EC3">
        <w:t>biohazardous material.</w:t>
      </w:r>
      <w:r w:rsidR="2798B5FD" w:rsidRPr="0064513C">
        <w:t xml:space="preserve"> It is the </w:t>
      </w:r>
      <w:r w:rsidR="00FA3ACF">
        <w:t>Principal Investigator's</w:t>
      </w:r>
      <w:r w:rsidR="00FA3ACF" w:rsidRPr="0064513C">
        <w:t xml:space="preserve"> </w:t>
      </w:r>
      <w:r w:rsidR="2798B5FD" w:rsidRPr="0064513C">
        <w:t xml:space="preserve">responsibility to </w:t>
      </w:r>
      <w:r w:rsidR="3748F489" w:rsidRPr="0064513C">
        <w:t xml:space="preserve">only accept </w:t>
      </w:r>
      <w:r w:rsidR="008A3605">
        <w:t xml:space="preserve">ADTB samples </w:t>
      </w:r>
      <w:r w:rsidR="3748F489" w:rsidRPr="0064513C">
        <w:t>if they have the appropriate</w:t>
      </w:r>
      <w:r w:rsidR="00E024AF">
        <w:t xml:space="preserve"> bio</w:t>
      </w:r>
      <w:r w:rsidR="00CC3C01">
        <w:t>hazard safety</w:t>
      </w:r>
      <w:r w:rsidR="3748F489" w:rsidRPr="0064513C">
        <w:t xml:space="preserve"> policies, procedures and institutional approvals in place. </w:t>
      </w:r>
    </w:p>
    <w:p w14:paraId="2D715A9C" w14:textId="6F4D4607" w:rsidR="00892568" w:rsidRDefault="004830F9" w:rsidP="00F2638E">
      <w:pPr>
        <w:pStyle w:val="Heading2"/>
      </w:pPr>
      <w:r w:rsidRPr="0064513C">
        <w:t xml:space="preserve">The </w:t>
      </w:r>
      <w:r w:rsidR="00FA3ACF">
        <w:t>Principal Investigator</w:t>
      </w:r>
      <w:r w:rsidRPr="0064513C">
        <w:t xml:space="preserve"> assumes all risk and responsibility for the handling, storage and use of samples provided by the </w:t>
      </w:r>
      <w:r w:rsidR="2060A1E9" w:rsidRPr="0064513C">
        <w:t xml:space="preserve">ADTB </w:t>
      </w:r>
      <w:r w:rsidRPr="0064513C">
        <w:t xml:space="preserve">and for informing and training all personnel in the dangers, hazards and procedures for the safe handling of human biospecimens. </w:t>
      </w:r>
    </w:p>
    <w:p w14:paraId="42564313" w14:textId="17477211" w:rsidR="00C64765" w:rsidRDefault="002A563D" w:rsidP="00F2638E">
      <w:pPr>
        <w:pStyle w:val="Heading2"/>
      </w:pPr>
      <w:r>
        <w:t xml:space="preserve">The ADTB manages </w:t>
      </w:r>
      <w:r w:rsidR="00BE39C5">
        <w:t xml:space="preserve">sample </w:t>
      </w:r>
      <w:r>
        <w:t xml:space="preserve">requests from </w:t>
      </w:r>
      <w:proofErr w:type="gramStart"/>
      <w:r>
        <w:t>a large number of</w:t>
      </w:r>
      <w:proofErr w:type="gramEnd"/>
      <w:r>
        <w:t xml:space="preserve"> </w:t>
      </w:r>
      <w:r w:rsidR="00C523A9">
        <w:t>research projects</w:t>
      </w:r>
      <w:r>
        <w:t xml:space="preserve">. </w:t>
      </w:r>
      <w:r w:rsidR="004455FD">
        <w:t xml:space="preserve">If demand for samples exceeds </w:t>
      </w:r>
      <w:r w:rsidR="009D24B0">
        <w:t>sample provision</w:t>
      </w:r>
      <w:r w:rsidR="004455FD">
        <w:t xml:space="preserve">, </w:t>
      </w:r>
      <w:r w:rsidR="00BC14FD" w:rsidRPr="00F2638E">
        <w:t xml:space="preserve">ADTB will endeavour to accommodate requests by exploring options such as sharing samples among </w:t>
      </w:r>
      <w:r w:rsidR="00FA3ACF">
        <w:t>research projects</w:t>
      </w:r>
      <w:r w:rsidR="00BC14FD" w:rsidRPr="00F2638E">
        <w:t xml:space="preserve"> or distributing samples on a rotating basis.</w:t>
      </w:r>
    </w:p>
    <w:p w14:paraId="562C29A2" w14:textId="68233004" w:rsidR="004D1126" w:rsidRPr="0064513C" w:rsidRDefault="004D1126" w:rsidP="00F2638E">
      <w:pPr>
        <w:pStyle w:val="Heading2"/>
      </w:pPr>
      <w:r>
        <w:t xml:space="preserve">The ADTB How to Apply and Conditions of Use document may be updated from time to time. </w:t>
      </w:r>
      <w:r w:rsidR="00A95638">
        <w:t>Principal Investigators</w:t>
      </w:r>
      <w:r w:rsidR="00A95638" w:rsidRPr="0064513C">
        <w:t xml:space="preserve"> </w:t>
      </w:r>
      <w:r>
        <w:t>will be asked to sign updated versions.</w:t>
      </w:r>
    </w:p>
    <w:p w14:paraId="3B3FE983" w14:textId="2D61B42F" w:rsidR="006A391B" w:rsidRDefault="001309FA" w:rsidP="00B15FBA">
      <w:r>
        <w:rPr>
          <w:noProof/>
        </w:rPr>
        <w:pict w14:anchorId="2BAD2B45">
          <v:rect id="_x0000_i1031" alt="" style="width:451.3pt;height:1.5pt;mso-width-percent:0;mso-height-percent:0;mso-width-percent:0;mso-height-percent:0" o:hralign="center" o:hrstd="t" o:hrnoshade="t" o:hr="t" fillcolor="#252567" stroked="f"/>
        </w:pict>
      </w:r>
    </w:p>
    <w:p w14:paraId="7075A379" w14:textId="77777777" w:rsidR="00012CE5" w:rsidRDefault="00012CE5" w:rsidP="00012CE5">
      <w:pPr>
        <w:pStyle w:val="Heading1"/>
      </w:pPr>
      <w:bookmarkStart w:id="15" w:name="_Toc194126653"/>
      <w:bookmarkStart w:id="16" w:name="_Toc195106193"/>
      <w:r>
        <w:t>Fees</w:t>
      </w:r>
      <w:bookmarkEnd w:id="15"/>
      <w:r>
        <w:t xml:space="preserve"> </w:t>
      </w:r>
      <w:bookmarkEnd w:id="16"/>
    </w:p>
    <w:p w14:paraId="6C0D575C" w14:textId="28F5FC9F" w:rsidR="00012CE5" w:rsidRPr="00012CE5" w:rsidRDefault="00012CE5" w:rsidP="00012CE5">
      <w:pPr>
        <w:pStyle w:val="Heading2"/>
      </w:pPr>
      <w:r>
        <w:t>The</w:t>
      </w:r>
      <w:r w:rsidRPr="00012CE5">
        <w:t xml:space="preserve"> ADTB </w:t>
      </w:r>
      <w:r w:rsidRPr="00F2638E">
        <w:t xml:space="preserve">charges cost recovery fees to </w:t>
      </w:r>
      <w:r w:rsidR="00E74C62">
        <w:t>research projects</w:t>
      </w:r>
      <w:r w:rsidRPr="00F2638E">
        <w:t xml:space="preserve"> </w:t>
      </w:r>
      <w:r w:rsidRPr="00012CE5">
        <w:t xml:space="preserve">to offset the substantial costs of collecting, processing, storing, distributing and annotating biospecimens. </w:t>
      </w:r>
    </w:p>
    <w:p w14:paraId="0322C5A4" w14:textId="77777777" w:rsidR="00012CE5" w:rsidRDefault="00012CE5" w:rsidP="00012CE5">
      <w:pPr>
        <w:pStyle w:val="Heading2"/>
      </w:pPr>
      <w:r>
        <w:t xml:space="preserve">Fees are reviewed annually. Thirty </w:t>
      </w:r>
      <w:proofErr w:type="spellStart"/>
      <w:r>
        <w:t>days notice</w:t>
      </w:r>
      <w:proofErr w:type="spellEnd"/>
      <w:r>
        <w:t xml:space="preserve"> will be given prior to any change in fees. The ADTB Cost Recovery Fee Schedule will be made available upon request by contacting </w:t>
      </w:r>
      <w:hyperlink r:id="rId16" w:history="1">
        <w:r w:rsidRPr="009F7E53">
          <w:rPr>
            <w:rStyle w:val="Hyperlink"/>
          </w:rPr>
          <w:t>adtb@austin.org.au</w:t>
        </w:r>
      </w:hyperlink>
      <w:r>
        <w:t>.</w:t>
      </w:r>
    </w:p>
    <w:p w14:paraId="597161C9" w14:textId="2898EA6B" w:rsidR="00012CE5" w:rsidRPr="00012CE5" w:rsidRDefault="001309FA" w:rsidP="00F2638E">
      <w:r>
        <w:rPr>
          <w:noProof/>
        </w:rPr>
        <w:pict w14:anchorId="533B64DA">
          <v:rect id="_x0000_i1032" alt="" style="width:451.3pt;height:1.5pt;mso-width-percent:0;mso-height-percent:0;mso-width-percent:0;mso-height-percent:0" o:hralign="center" o:hrstd="t" o:hrnoshade="t" o:hr="t" fillcolor="#252567" stroked="f"/>
        </w:pict>
      </w:r>
    </w:p>
    <w:p w14:paraId="5B0992C1" w14:textId="3D9FF2B8" w:rsidR="00892568" w:rsidRPr="0064513C" w:rsidRDefault="004830F9" w:rsidP="00012CE5">
      <w:pPr>
        <w:pStyle w:val="Heading1"/>
      </w:pPr>
      <w:bookmarkStart w:id="17" w:name="_Toc195106194"/>
      <w:r w:rsidRPr="0064513C">
        <w:t>Payment</w:t>
      </w:r>
      <w:bookmarkEnd w:id="17"/>
      <w:r w:rsidRPr="0064513C">
        <w:t xml:space="preserve"> </w:t>
      </w:r>
    </w:p>
    <w:p w14:paraId="69EC7B09" w14:textId="722EC29A" w:rsidR="002E3353" w:rsidRPr="002E3353" w:rsidRDefault="00F15215">
      <w:pPr>
        <w:pStyle w:val="Heading2"/>
      </w:pPr>
      <w:r w:rsidRPr="002E3353">
        <w:t xml:space="preserve">Invoicing </w:t>
      </w:r>
      <w:r w:rsidR="004830F9" w:rsidRPr="002E3353">
        <w:t xml:space="preserve">for </w:t>
      </w:r>
      <w:r w:rsidR="00E2268A">
        <w:t>ADTB</w:t>
      </w:r>
      <w:r w:rsidR="4D7F648B" w:rsidRPr="002E3353">
        <w:t xml:space="preserve"> </w:t>
      </w:r>
      <w:r w:rsidRPr="002E3353">
        <w:t>services will be sent on a quarterly basis.</w:t>
      </w:r>
      <w:r w:rsidR="002E3353" w:rsidRPr="002E3353">
        <w:t xml:space="preserve"> The </w:t>
      </w:r>
      <w:r w:rsidR="002E3353" w:rsidRPr="00F2638E">
        <w:t>ADTB will send researchers a summary of their tissue requests at the end of each quarter. Researchers are required to confirm the details in writing and provide a Purchase Order number for the invoice.</w:t>
      </w:r>
    </w:p>
    <w:p w14:paraId="4198C779" w14:textId="019CC3F6" w:rsidR="008320CC" w:rsidRDefault="004830F9" w:rsidP="00F2638E">
      <w:pPr>
        <w:pStyle w:val="Heading2"/>
      </w:pPr>
      <w:r w:rsidRPr="0064513C">
        <w:t>Payments not received within 60 days may result in the temporary suspension of service until payment is received.</w:t>
      </w:r>
    </w:p>
    <w:p w14:paraId="754E97AE" w14:textId="5BF2F064" w:rsidR="008320CC" w:rsidRDefault="001309FA" w:rsidP="00B15FBA">
      <w:r>
        <w:rPr>
          <w:noProof/>
        </w:rPr>
        <w:pict w14:anchorId="233FA6E9">
          <v:rect id="_x0000_i1033" alt="" style="width:451.3pt;height:1.5pt;mso-width-percent:0;mso-height-percent:0;mso-width-percent:0;mso-height-percent:0" o:hralign="center" o:hrstd="t" o:hrnoshade="t" o:hr="t" fillcolor="#252567" stroked="f"/>
        </w:pict>
      </w:r>
    </w:p>
    <w:p w14:paraId="7DEB77A8" w14:textId="76165FAC" w:rsidR="00291A5A" w:rsidRPr="008320CC" w:rsidRDefault="00291A5A" w:rsidP="00B15FBA">
      <w:pPr>
        <w:pStyle w:val="Heading1"/>
      </w:pPr>
      <w:bookmarkStart w:id="18" w:name="_Toc195106195"/>
      <w:r>
        <w:t>Principal Investigator Declaration</w:t>
      </w:r>
      <w:bookmarkEnd w:id="18"/>
    </w:p>
    <w:tbl>
      <w:tblPr>
        <w:tblStyle w:val="TableGrid"/>
        <w:tblW w:w="0" w:type="auto"/>
        <w:tblLook w:val="04A0" w:firstRow="1" w:lastRow="0" w:firstColumn="1" w:lastColumn="0" w:noHBand="0" w:noVBand="1"/>
      </w:tblPr>
      <w:tblGrid>
        <w:gridCol w:w="3272"/>
        <w:gridCol w:w="3369"/>
        <w:gridCol w:w="2157"/>
      </w:tblGrid>
      <w:tr w:rsidR="00811216" w14:paraId="62B079DC" w14:textId="77777777" w:rsidTr="00F2638E">
        <w:tc>
          <w:tcPr>
            <w:tcW w:w="8798" w:type="dxa"/>
            <w:gridSpan w:val="3"/>
            <w:shd w:val="clear" w:color="auto" w:fill="252567"/>
          </w:tcPr>
          <w:p w14:paraId="35C1B102" w14:textId="77777777" w:rsidR="00811216" w:rsidRPr="00A819E9" w:rsidRDefault="00811216" w:rsidP="00811216">
            <w:pPr>
              <w:rPr>
                <w:b/>
                <w:bCs/>
              </w:rPr>
            </w:pPr>
            <w:r w:rsidRPr="00A819E9">
              <w:rPr>
                <w:b/>
                <w:bCs/>
                <w:color w:val="FFFFFF" w:themeColor="background1"/>
              </w:rPr>
              <w:t>Principal Investigator Declaration</w:t>
            </w:r>
          </w:p>
        </w:tc>
      </w:tr>
      <w:tr w:rsidR="00811216" w14:paraId="54FB1589" w14:textId="77777777" w:rsidTr="00F2638E">
        <w:tc>
          <w:tcPr>
            <w:tcW w:w="8798" w:type="dxa"/>
            <w:gridSpan w:val="3"/>
          </w:tcPr>
          <w:p w14:paraId="273FC87C" w14:textId="77777777" w:rsidR="00811216" w:rsidRPr="00A819E9" w:rsidRDefault="00811216" w:rsidP="00811216">
            <w:pPr>
              <w:rPr>
                <w:b/>
                <w:bCs/>
              </w:rPr>
            </w:pPr>
            <w:r w:rsidRPr="00A819E9">
              <w:rPr>
                <w:b/>
                <w:bCs/>
              </w:rPr>
              <w:t>I have read and understood and agree with the conditions for use as detailed in this document.</w:t>
            </w:r>
          </w:p>
        </w:tc>
      </w:tr>
      <w:tr w:rsidR="00811216" w14:paraId="42455C4D" w14:textId="77777777" w:rsidTr="00F2638E">
        <w:trPr>
          <w:trHeight w:val="746"/>
        </w:trPr>
        <w:tc>
          <w:tcPr>
            <w:tcW w:w="3272" w:type="dxa"/>
          </w:tcPr>
          <w:p w14:paraId="3F761677" w14:textId="77777777" w:rsidR="00811216" w:rsidRDefault="00811216" w:rsidP="00811216"/>
          <w:p w14:paraId="3048AA13" w14:textId="77777777" w:rsidR="00811216" w:rsidRDefault="00811216" w:rsidP="00811216"/>
          <w:p w14:paraId="6EB16262" w14:textId="77777777" w:rsidR="00811216" w:rsidRDefault="00811216" w:rsidP="00811216"/>
          <w:p w14:paraId="26182E62" w14:textId="77777777" w:rsidR="00811216" w:rsidRDefault="00811216" w:rsidP="00811216"/>
        </w:tc>
        <w:tc>
          <w:tcPr>
            <w:tcW w:w="3369" w:type="dxa"/>
          </w:tcPr>
          <w:p w14:paraId="08B824EB" w14:textId="77777777" w:rsidR="00811216" w:rsidRDefault="00811216" w:rsidP="00811216"/>
        </w:tc>
        <w:tc>
          <w:tcPr>
            <w:tcW w:w="2157" w:type="dxa"/>
          </w:tcPr>
          <w:p w14:paraId="1B6D1182" w14:textId="77777777" w:rsidR="00811216" w:rsidRDefault="00811216" w:rsidP="00811216"/>
        </w:tc>
      </w:tr>
      <w:tr w:rsidR="00811216" w14:paraId="0863338D" w14:textId="77777777" w:rsidTr="00F2638E">
        <w:tc>
          <w:tcPr>
            <w:tcW w:w="3272" w:type="dxa"/>
          </w:tcPr>
          <w:p w14:paraId="79F2D906" w14:textId="77777777" w:rsidR="00811216" w:rsidRPr="00A819E9" w:rsidRDefault="00811216" w:rsidP="00811216">
            <w:pPr>
              <w:rPr>
                <w:b/>
                <w:bCs/>
              </w:rPr>
            </w:pPr>
            <w:r w:rsidRPr="00A819E9">
              <w:rPr>
                <w:b/>
                <w:bCs/>
              </w:rPr>
              <w:t>Principal Investigator’s Name</w:t>
            </w:r>
          </w:p>
        </w:tc>
        <w:tc>
          <w:tcPr>
            <w:tcW w:w="3369" w:type="dxa"/>
          </w:tcPr>
          <w:p w14:paraId="747CC053" w14:textId="77777777" w:rsidR="00811216" w:rsidRPr="00A819E9" w:rsidRDefault="00811216" w:rsidP="00811216">
            <w:pPr>
              <w:rPr>
                <w:b/>
                <w:bCs/>
              </w:rPr>
            </w:pPr>
            <w:r w:rsidRPr="00A819E9">
              <w:rPr>
                <w:b/>
                <w:bCs/>
              </w:rPr>
              <w:t>Signature</w:t>
            </w:r>
          </w:p>
        </w:tc>
        <w:tc>
          <w:tcPr>
            <w:tcW w:w="2157" w:type="dxa"/>
          </w:tcPr>
          <w:p w14:paraId="70EB27CF" w14:textId="77777777" w:rsidR="00811216" w:rsidRPr="00A819E9" w:rsidRDefault="00811216" w:rsidP="00811216">
            <w:pPr>
              <w:rPr>
                <w:b/>
                <w:bCs/>
              </w:rPr>
            </w:pPr>
            <w:r w:rsidRPr="00A819E9">
              <w:rPr>
                <w:b/>
                <w:bCs/>
              </w:rPr>
              <w:t>Date</w:t>
            </w:r>
          </w:p>
        </w:tc>
      </w:tr>
    </w:tbl>
    <w:p w14:paraId="61723153" w14:textId="77777777" w:rsidR="008320CC" w:rsidRPr="008320CC" w:rsidRDefault="008320CC" w:rsidP="00B15FBA"/>
    <w:p w14:paraId="5C9A34B0" w14:textId="3D053591" w:rsidR="00471650" w:rsidRPr="0064513C" w:rsidRDefault="00471650" w:rsidP="00B15FBA"/>
    <w:sectPr w:rsidR="00471650" w:rsidRPr="0064513C" w:rsidSect="00F2638E">
      <w:pgSz w:w="11906" w:h="16838"/>
      <w:pgMar w:top="1440" w:right="1440" w:bottom="1440" w:left="144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4B602" w14:textId="77777777" w:rsidR="0076743E" w:rsidRDefault="0076743E" w:rsidP="00D33C58">
      <w:r>
        <w:separator/>
      </w:r>
    </w:p>
    <w:p w14:paraId="4F772AB7" w14:textId="77777777" w:rsidR="0076743E" w:rsidRDefault="0076743E" w:rsidP="00D33C58"/>
    <w:p w14:paraId="29AE8CF7" w14:textId="77777777" w:rsidR="0076743E" w:rsidRDefault="0076743E" w:rsidP="00D33C58"/>
  </w:endnote>
  <w:endnote w:type="continuationSeparator" w:id="0">
    <w:p w14:paraId="6EBDC47A" w14:textId="77777777" w:rsidR="0076743E" w:rsidRDefault="0076743E" w:rsidP="00D33C58">
      <w:r>
        <w:continuationSeparator/>
      </w:r>
    </w:p>
    <w:p w14:paraId="012761C7" w14:textId="77777777" w:rsidR="0076743E" w:rsidRDefault="0076743E" w:rsidP="00D33C58"/>
    <w:p w14:paraId="5EDEC0AB" w14:textId="77777777" w:rsidR="0076743E" w:rsidRDefault="0076743E" w:rsidP="00D33C58"/>
  </w:endnote>
  <w:endnote w:type="continuationNotice" w:id="1">
    <w:p w14:paraId="62CE6113" w14:textId="77777777" w:rsidR="0076743E" w:rsidRDefault="0076743E" w:rsidP="00D33C58"/>
    <w:p w14:paraId="226EF7FC" w14:textId="77777777" w:rsidR="0076743E" w:rsidRDefault="0076743E" w:rsidP="00D33C58"/>
    <w:p w14:paraId="162C4F79" w14:textId="77777777" w:rsidR="0076743E" w:rsidRDefault="0076743E" w:rsidP="00D33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8" w:type="dxa"/>
      <w:tblLayout w:type="fixed"/>
      <w:tblLook w:val="06A0" w:firstRow="1" w:lastRow="0" w:firstColumn="1" w:lastColumn="0" w:noHBand="1" w:noVBand="1"/>
    </w:tblPr>
    <w:tblGrid>
      <w:gridCol w:w="7088"/>
      <w:gridCol w:w="992"/>
      <w:gridCol w:w="1848"/>
    </w:tblGrid>
    <w:tr w:rsidR="008320CC" w:rsidRPr="008320CC" w14:paraId="69804272" w14:textId="77777777" w:rsidTr="1F4A8C87">
      <w:tc>
        <w:tcPr>
          <w:tcW w:w="7088" w:type="dxa"/>
        </w:tcPr>
        <w:p w14:paraId="2997F53D" w14:textId="657575A9" w:rsidR="00AC405F" w:rsidRPr="000A2AD3" w:rsidRDefault="001309FA" w:rsidP="000A2AD3">
          <w:pPr>
            <w:pStyle w:val="Footer"/>
            <w:rPr>
              <w:szCs w:val="20"/>
              <w:lang w:val="en-US"/>
            </w:rPr>
          </w:pPr>
          <w:sdt>
            <w:sdtPr>
              <w:rPr>
                <w:szCs w:val="20"/>
              </w:rPr>
              <w:id w:val="412282826"/>
              <w:docPartObj>
                <w:docPartGallery w:val="Page Numbers (Bottom of Page)"/>
                <w:docPartUnique/>
              </w:docPartObj>
            </w:sdtPr>
            <w:sdtEndPr>
              <w:rPr>
                <w:noProof/>
              </w:rPr>
            </w:sdtEndPr>
            <w:sdtContent>
              <w:r w:rsidR="00AC405F" w:rsidRPr="000A2AD3">
                <w:rPr>
                  <w:szCs w:val="20"/>
                  <w:lang w:val="en-US"/>
                </w:rPr>
                <w:t>ADTB How to Apply and Conditions of Use</w:t>
              </w:r>
              <w:r w:rsidR="00AC405F" w:rsidRPr="000A2AD3">
                <w:rPr>
                  <w:szCs w:val="20"/>
                  <w:lang w:val="en-US"/>
                </w:rPr>
                <w:tab/>
              </w:r>
              <w:r w:rsidR="00AC405F" w:rsidRPr="000A2AD3">
                <w:rPr>
                  <w:szCs w:val="20"/>
                  <w:lang w:val="en-US"/>
                </w:rPr>
                <w:tab/>
              </w:r>
              <w:r w:rsidR="00AC405F" w:rsidRPr="000A2AD3">
                <w:rPr>
                  <w:szCs w:val="20"/>
                </w:rPr>
                <w:t xml:space="preserve">  </w:t>
              </w:r>
            </w:sdtContent>
          </w:sdt>
        </w:p>
        <w:p w14:paraId="0F870906" w14:textId="1B099F95" w:rsidR="3A9EC71E" w:rsidRPr="00B90558" w:rsidRDefault="1F4A8C87" w:rsidP="00B90558">
          <w:pPr>
            <w:pStyle w:val="Footer"/>
            <w:rPr>
              <w:szCs w:val="20"/>
              <w:lang w:val="en-US"/>
            </w:rPr>
          </w:pPr>
          <w:r w:rsidRPr="1F4A8C87">
            <w:rPr>
              <w:szCs w:val="20"/>
              <w:lang w:val="en-US"/>
            </w:rPr>
            <w:t xml:space="preserve">Version </w:t>
          </w:r>
          <w:r w:rsidR="00811216">
            <w:rPr>
              <w:szCs w:val="20"/>
              <w:lang w:val="en-US"/>
            </w:rPr>
            <w:t>3.</w:t>
          </w:r>
          <w:r w:rsidR="006F4504">
            <w:rPr>
              <w:szCs w:val="20"/>
              <w:lang w:val="en-US"/>
            </w:rPr>
            <w:t>1 dated 17 February 2026</w:t>
          </w:r>
        </w:p>
      </w:tc>
      <w:tc>
        <w:tcPr>
          <w:tcW w:w="992" w:type="dxa"/>
        </w:tcPr>
        <w:p w14:paraId="50A5C114" w14:textId="5A906DFA" w:rsidR="3A9EC71E" w:rsidRPr="000A2AD3" w:rsidRDefault="3A9EC71E" w:rsidP="000A2AD3">
          <w:pPr>
            <w:pStyle w:val="Header"/>
            <w:rPr>
              <w:szCs w:val="20"/>
              <w:highlight w:val="yellow"/>
            </w:rPr>
          </w:pPr>
        </w:p>
      </w:tc>
      <w:tc>
        <w:tcPr>
          <w:tcW w:w="1848" w:type="dxa"/>
        </w:tcPr>
        <w:p w14:paraId="26B6BD57" w14:textId="105BEDD6" w:rsidR="3A9EC71E" w:rsidRPr="000A2AD3" w:rsidRDefault="00A56F67" w:rsidP="000A2AD3">
          <w:pPr>
            <w:pStyle w:val="Header"/>
            <w:rPr>
              <w:szCs w:val="20"/>
            </w:rPr>
          </w:pPr>
          <w:r>
            <w:rPr>
              <w:szCs w:val="20"/>
            </w:rPr>
            <w:t xml:space="preserve">             </w:t>
          </w:r>
          <w:r w:rsidR="00AC405F" w:rsidRPr="000A2AD3">
            <w:rPr>
              <w:szCs w:val="20"/>
            </w:rPr>
            <w:fldChar w:fldCharType="begin"/>
          </w:r>
          <w:r w:rsidR="00AC405F" w:rsidRPr="000A2AD3">
            <w:rPr>
              <w:szCs w:val="20"/>
            </w:rPr>
            <w:instrText xml:space="preserve"> PAGE   \* MERGEFORMAT </w:instrText>
          </w:r>
          <w:r w:rsidR="00AC405F" w:rsidRPr="000A2AD3">
            <w:rPr>
              <w:szCs w:val="20"/>
            </w:rPr>
            <w:fldChar w:fldCharType="separate"/>
          </w:r>
          <w:r w:rsidR="004D1126" w:rsidRPr="000A2AD3">
            <w:rPr>
              <w:noProof/>
              <w:szCs w:val="20"/>
            </w:rPr>
            <w:t>1</w:t>
          </w:r>
          <w:r w:rsidR="00AC405F" w:rsidRPr="000A2AD3">
            <w:rPr>
              <w:noProof/>
              <w:szCs w:val="20"/>
            </w:rPr>
            <w:fldChar w:fldCharType="end"/>
          </w:r>
        </w:p>
      </w:tc>
    </w:tr>
  </w:tbl>
  <w:p w14:paraId="7D97D128" w14:textId="70A9260B" w:rsidR="3A9EC71E" w:rsidRDefault="3A9EC71E" w:rsidP="00B9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4C95" w14:textId="77777777" w:rsidR="0076743E" w:rsidRDefault="0076743E" w:rsidP="00D33C58">
      <w:r>
        <w:separator/>
      </w:r>
    </w:p>
    <w:p w14:paraId="5E10CB04" w14:textId="77777777" w:rsidR="0076743E" w:rsidRDefault="0076743E" w:rsidP="00D33C58"/>
    <w:p w14:paraId="45493EF4" w14:textId="77777777" w:rsidR="0076743E" w:rsidRDefault="0076743E" w:rsidP="00D33C58"/>
  </w:footnote>
  <w:footnote w:type="continuationSeparator" w:id="0">
    <w:p w14:paraId="0FDF5049" w14:textId="77777777" w:rsidR="0076743E" w:rsidRDefault="0076743E" w:rsidP="00D33C58">
      <w:r>
        <w:continuationSeparator/>
      </w:r>
    </w:p>
    <w:p w14:paraId="0517C156" w14:textId="77777777" w:rsidR="0076743E" w:rsidRDefault="0076743E" w:rsidP="00D33C58"/>
    <w:p w14:paraId="7B60B849" w14:textId="77777777" w:rsidR="0076743E" w:rsidRDefault="0076743E" w:rsidP="00D33C58"/>
  </w:footnote>
  <w:footnote w:type="continuationNotice" w:id="1">
    <w:p w14:paraId="0E7FBBC0" w14:textId="77777777" w:rsidR="0076743E" w:rsidRDefault="0076743E" w:rsidP="00D33C58"/>
    <w:p w14:paraId="55527A6F" w14:textId="77777777" w:rsidR="0076743E" w:rsidRDefault="0076743E" w:rsidP="00D33C58"/>
    <w:p w14:paraId="582FCB51" w14:textId="77777777" w:rsidR="0076743E" w:rsidRDefault="0076743E" w:rsidP="00D33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95"/>
      <w:gridCol w:w="907"/>
      <w:gridCol w:w="3005"/>
    </w:tblGrid>
    <w:tr w:rsidR="3A9EC71E" w14:paraId="1942BDE6" w14:textId="77777777" w:rsidTr="00F2638E">
      <w:trPr>
        <w:trHeight w:val="563"/>
      </w:trPr>
      <w:tc>
        <w:tcPr>
          <w:tcW w:w="4395" w:type="dxa"/>
        </w:tcPr>
        <w:p w14:paraId="622E9874" w14:textId="4C63DD2B" w:rsidR="3A9EC71E" w:rsidRDefault="008320CC" w:rsidP="00F2638E">
          <w:pPr>
            <w:jc w:val="left"/>
          </w:pPr>
          <w:r w:rsidRPr="004418C3">
            <w:rPr>
              <w:b/>
              <w:bCs/>
              <w:color w:val="252567"/>
              <w:sz w:val="36"/>
              <w:szCs w:val="36"/>
            </w:rPr>
            <w:t>ADTB How to Apply and Conditions of Use</w:t>
          </w:r>
        </w:p>
      </w:tc>
      <w:tc>
        <w:tcPr>
          <w:tcW w:w="907" w:type="dxa"/>
        </w:tcPr>
        <w:p w14:paraId="678E3ED5" w14:textId="625303AF" w:rsidR="3A9EC71E" w:rsidRDefault="3A9EC71E" w:rsidP="00D33C58">
          <w:pPr>
            <w:pStyle w:val="Header"/>
          </w:pPr>
        </w:p>
      </w:tc>
      <w:tc>
        <w:tcPr>
          <w:tcW w:w="3005" w:type="dxa"/>
        </w:tcPr>
        <w:p w14:paraId="54C58DE4" w14:textId="5F9CB87D" w:rsidR="3A9EC71E" w:rsidRDefault="00B72EB2" w:rsidP="00D33C58">
          <w:pPr>
            <w:pStyle w:val="Header"/>
          </w:pPr>
          <w:r>
            <w:rPr>
              <w:noProof/>
              <w:shd w:val="clear" w:color="auto" w:fill="E6E6E6"/>
              <w:lang w:eastAsia="en-AU"/>
            </w:rPr>
            <w:drawing>
              <wp:anchor distT="0" distB="0" distL="114300" distR="114300" simplePos="0" relativeHeight="251658240" behindDoc="1" locked="0" layoutInCell="1" allowOverlap="1" wp14:anchorId="3F4FAA9F" wp14:editId="1DAEE5CD">
                <wp:simplePos x="0" y="0"/>
                <wp:positionH relativeFrom="column">
                  <wp:posOffset>-125564</wp:posOffset>
                </wp:positionH>
                <wp:positionV relativeFrom="paragraph">
                  <wp:posOffset>22501</wp:posOffset>
                </wp:positionV>
                <wp:extent cx="2406895" cy="557530"/>
                <wp:effectExtent l="0" t="0" r="0" b="0"/>
                <wp:wrapNone/>
                <wp:docPr id="1576960992" name="Picture 157696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06895" cy="557530"/>
                        </a:xfrm>
                        <a:prstGeom prst="rect">
                          <a:avLst/>
                        </a:prstGeom>
                      </pic:spPr>
                    </pic:pic>
                  </a:graphicData>
                </a:graphic>
                <wp14:sizeRelH relativeFrom="margin">
                  <wp14:pctWidth>0</wp14:pctWidth>
                </wp14:sizeRelH>
                <wp14:sizeRelV relativeFrom="margin">
                  <wp14:pctHeight>0</wp14:pctHeight>
                </wp14:sizeRelV>
              </wp:anchor>
            </w:drawing>
          </w:r>
        </w:p>
      </w:tc>
    </w:tr>
  </w:tbl>
  <w:p w14:paraId="1F9238ED" w14:textId="023FAB56" w:rsidR="3A9EC71E" w:rsidRDefault="3A9EC71E" w:rsidP="00B72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5EB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49033E"/>
    <w:multiLevelType w:val="hybridMultilevel"/>
    <w:tmpl w:val="4FC4966E"/>
    <w:lvl w:ilvl="0" w:tplc="08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BD499A"/>
    <w:multiLevelType w:val="hybridMultilevel"/>
    <w:tmpl w:val="8C7A9F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84202C"/>
    <w:multiLevelType w:val="multilevel"/>
    <w:tmpl w:val="0809001F"/>
    <w:numStyleLink w:val="111111"/>
  </w:abstractNum>
  <w:abstractNum w:abstractNumId="4" w15:restartNumberingAfterBreak="0">
    <w:nsid w:val="2FBC6D94"/>
    <w:multiLevelType w:val="hybridMultilevel"/>
    <w:tmpl w:val="E95AE848"/>
    <w:lvl w:ilvl="0" w:tplc="0C090019">
      <w:start w:val="1"/>
      <w:numFmt w:val="lowerLetter"/>
      <w:lvlText w:val="%1."/>
      <w:lvlJc w:val="left"/>
      <w:pPr>
        <w:ind w:left="936" w:hanging="360"/>
      </w:pPr>
    </w:lvl>
    <w:lvl w:ilvl="1" w:tplc="BBA67F04">
      <w:start w:val="1"/>
      <w:numFmt w:val="lowerLetter"/>
      <w:lvlText w:val="%2)"/>
      <w:lvlJc w:val="left"/>
      <w:pPr>
        <w:ind w:left="1656" w:hanging="360"/>
      </w:pPr>
      <w:rPr>
        <w:rFonts w:hint="default"/>
      </w:r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5" w15:restartNumberingAfterBreak="0">
    <w:nsid w:val="32286DB3"/>
    <w:multiLevelType w:val="multilevel"/>
    <w:tmpl w:val="6EA2B39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4D031D"/>
    <w:multiLevelType w:val="hybridMultilevel"/>
    <w:tmpl w:val="2E480030"/>
    <w:lvl w:ilvl="0" w:tplc="0C090019">
      <w:start w:val="1"/>
      <w:numFmt w:val="lowerLetter"/>
      <w:lvlText w:val="%1."/>
      <w:lvlJc w:val="left"/>
      <w:pPr>
        <w:ind w:left="936" w:hanging="360"/>
      </w:p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7" w15:restartNumberingAfterBreak="0">
    <w:nsid w:val="48DD791A"/>
    <w:multiLevelType w:val="hybridMultilevel"/>
    <w:tmpl w:val="4808B2B6"/>
    <w:lvl w:ilvl="0" w:tplc="0C090019">
      <w:start w:val="1"/>
      <w:numFmt w:val="lowerLetter"/>
      <w:lvlText w:val="%1."/>
      <w:lvlJc w:val="left"/>
      <w:pPr>
        <w:ind w:left="936" w:hanging="360"/>
      </w:p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8" w15:restartNumberingAfterBreak="0">
    <w:nsid w:val="53E65ADA"/>
    <w:multiLevelType w:val="hybridMultilevel"/>
    <w:tmpl w:val="495A6B06"/>
    <w:lvl w:ilvl="0" w:tplc="0C090019">
      <w:start w:val="1"/>
      <w:numFmt w:val="lowerLetter"/>
      <w:lvlText w:val="%1."/>
      <w:lvlJc w:val="left"/>
      <w:pPr>
        <w:ind w:left="936" w:hanging="360"/>
      </w:pPr>
    </w:lvl>
    <w:lvl w:ilvl="1" w:tplc="0C090019">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9" w15:restartNumberingAfterBreak="0">
    <w:nsid w:val="54AB5BC0"/>
    <w:multiLevelType w:val="hybridMultilevel"/>
    <w:tmpl w:val="18386BC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11A7C2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EE4813"/>
    <w:multiLevelType w:val="multilevel"/>
    <w:tmpl w:val="833E5D5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BC745D4"/>
    <w:multiLevelType w:val="hybridMultilevel"/>
    <w:tmpl w:val="304C5912"/>
    <w:lvl w:ilvl="0" w:tplc="0C090019">
      <w:start w:val="1"/>
      <w:numFmt w:val="lowerLetter"/>
      <w:lvlText w:val="%1."/>
      <w:lvlJc w:val="left"/>
      <w:pPr>
        <w:ind w:left="936" w:hanging="360"/>
      </w:p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num w:numId="1" w16cid:durableId="661545384">
    <w:abstractNumId w:val="3"/>
  </w:num>
  <w:num w:numId="2" w16cid:durableId="1240755161">
    <w:abstractNumId w:val="2"/>
  </w:num>
  <w:num w:numId="3" w16cid:durableId="1027826002">
    <w:abstractNumId w:val="5"/>
  </w:num>
  <w:num w:numId="4" w16cid:durableId="1406492353">
    <w:abstractNumId w:val="10"/>
  </w:num>
  <w:num w:numId="5" w16cid:durableId="442043888">
    <w:abstractNumId w:val="11"/>
  </w:num>
  <w:num w:numId="6" w16cid:durableId="594557086">
    <w:abstractNumId w:val="6"/>
  </w:num>
  <w:num w:numId="7" w16cid:durableId="1225752113">
    <w:abstractNumId w:val="12"/>
  </w:num>
  <w:num w:numId="8" w16cid:durableId="808398254">
    <w:abstractNumId w:val="1"/>
  </w:num>
  <w:num w:numId="9" w16cid:durableId="321205886">
    <w:abstractNumId w:val="7"/>
  </w:num>
  <w:num w:numId="10" w16cid:durableId="1043214723">
    <w:abstractNumId w:val="4"/>
  </w:num>
  <w:num w:numId="11" w16cid:durableId="206650415">
    <w:abstractNumId w:val="9"/>
  </w:num>
  <w:num w:numId="12" w16cid:durableId="576550358">
    <w:abstractNumId w:val="8"/>
  </w:num>
  <w:num w:numId="13" w16cid:durableId="20291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F9"/>
    <w:rsid w:val="00000F73"/>
    <w:rsid w:val="000055DC"/>
    <w:rsid w:val="000071A2"/>
    <w:rsid w:val="00010D2B"/>
    <w:rsid w:val="00012CE5"/>
    <w:rsid w:val="00012DB0"/>
    <w:rsid w:val="00016779"/>
    <w:rsid w:val="00025990"/>
    <w:rsid w:val="00033087"/>
    <w:rsid w:val="00033DC6"/>
    <w:rsid w:val="00037BE6"/>
    <w:rsid w:val="000413AD"/>
    <w:rsid w:val="000553EB"/>
    <w:rsid w:val="000614C6"/>
    <w:rsid w:val="000631D8"/>
    <w:rsid w:val="00081D3E"/>
    <w:rsid w:val="00087FA0"/>
    <w:rsid w:val="000A2AD3"/>
    <w:rsid w:val="000A5CEB"/>
    <w:rsid w:val="000B74FD"/>
    <w:rsid w:val="000D0A82"/>
    <w:rsid w:val="000D2A03"/>
    <w:rsid w:val="000D31A4"/>
    <w:rsid w:val="000E0259"/>
    <w:rsid w:val="000E2084"/>
    <w:rsid w:val="000E683C"/>
    <w:rsid w:val="000F261F"/>
    <w:rsid w:val="00106BAB"/>
    <w:rsid w:val="00110B11"/>
    <w:rsid w:val="00121B23"/>
    <w:rsid w:val="00125CDB"/>
    <w:rsid w:val="00126272"/>
    <w:rsid w:val="001309FA"/>
    <w:rsid w:val="00131BDC"/>
    <w:rsid w:val="00140CD7"/>
    <w:rsid w:val="00142231"/>
    <w:rsid w:val="00144CF0"/>
    <w:rsid w:val="00151280"/>
    <w:rsid w:val="00153952"/>
    <w:rsid w:val="00156264"/>
    <w:rsid w:val="001614F5"/>
    <w:rsid w:val="00176EF8"/>
    <w:rsid w:val="00183998"/>
    <w:rsid w:val="00187148"/>
    <w:rsid w:val="001910F1"/>
    <w:rsid w:val="0019375A"/>
    <w:rsid w:val="001938FD"/>
    <w:rsid w:val="00197135"/>
    <w:rsid w:val="001A397B"/>
    <w:rsid w:val="001A4A85"/>
    <w:rsid w:val="001B0083"/>
    <w:rsid w:val="001C014D"/>
    <w:rsid w:val="001D0A70"/>
    <w:rsid w:val="001E4590"/>
    <w:rsid w:val="001F0A5B"/>
    <w:rsid w:val="001F22F0"/>
    <w:rsid w:val="00200183"/>
    <w:rsid w:val="0020227A"/>
    <w:rsid w:val="0020382D"/>
    <w:rsid w:val="00213E7D"/>
    <w:rsid w:val="00214A67"/>
    <w:rsid w:val="00216416"/>
    <w:rsid w:val="00217757"/>
    <w:rsid w:val="00227055"/>
    <w:rsid w:val="002348A2"/>
    <w:rsid w:val="00241A3A"/>
    <w:rsid w:val="0024290C"/>
    <w:rsid w:val="00243D11"/>
    <w:rsid w:val="00247A2D"/>
    <w:rsid w:val="002506E7"/>
    <w:rsid w:val="00255020"/>
    <w:rsid w:val="00265056"/>
    <w:rsid w:val="00284407"/>
    <w:rsid w:val="00287A52"/>
    <w:rsid w:val="00291A5A"/>
    <w:rsid w:val="0029456E"/>
    <w:rsid w:val="002952AD"/>
    <w:rsid w:val="00296399"/>
    <w:rsid w:val="002A516A"/>
    <w:rsid w:val="002A563D"/>
    <w:rsid w:val="002A61E8"/>
    <w:rsid w:val="002B1289"/>
    <w:rsid w:val="002B2DD2"/>
    <w:rsid w:val="002B4C6D"/>
    <w:rsid w:val="002B763B"/>
    <w:rsid w:val="002C1817"/>
    <w:rsid w:val="002C2A04"/>
    <w:rsid w:val="002C4520"/>
    <w:rsid w:val="002D6550"/>
    <w:rsid w:val="002D6E91"/>
    <w:rsid w:val="002E0393"/>
    <w:rsid w:val="002E1252"/>
    <w:rsid w:val="002E3353"/>
    <w:rsid w:val="002E5F63"/>
    <w:rsid w:val="002F2060"/>
    <w:rsid w:val="0031013E"/>
    <w:rsid w:val="0031277E"/>
    <w:rsid w:val="00317FE9"/>
    <w:rsid w:val="00320961"/>
    <w:rsid w:val="003216A4"/>
    <w:rsid w:val="00321AC5"/>
    <w:rsid w:val="003234E3"/>
    <w:rsid w:val="003332D4"/>
    <w:rsid w:val="00334904"/>
    <w:rsid w:val="00341AFD"/>
    <w:rsid w:val="003471EB"/>
    <w:rsid w:val="003521F4"/>
    <w:rsid w:val="00355C9A"/>
    <w:rsid w:val="00360089"/>
    <w:rsid w:val="0036660C"/>
    <w:rsid w:val="003810EF"/>
    <w:rsid w:val="00382DD5"/>
    <w:rsid w:val="0038573E"/>
    <w:rsid w:val="00390C76"/>
    <w:rsid w:val="0039500C"/>
    <w:rsid w:val="00395F39"/>
    <w:rsid w:val="00396B68"/>
    <w:rsid w:val="00396D7F"/>
    <w:rsid w:val="003A5687"/>
    <w:rsid w:val="003C52AD"/>
    <w:rsid w:val="003D11FA"/>
    <w:rsid w:val="003E4A13"/>
    <w:rsid w:val="003E4EBD"/>
    <w:rsid w:val="00400B0F"/>
    <w:rsid w:val="0040718F"/>
    <w:rsid w:val="0040731F"/>
    <w:rsid w:val="004149A8"/>
    <w:rsid w:val="0042040F"/>
    <w:rsid w:val="004418C3"/>
    <w:rsid w:val="004455DC"/>
    <w:rsid w:val="004455FD"/>
    <w:rsid w:val="00445EF9"/>
    <w:rsid w:val="004505AC"/>
    <w:rsid w:val="0045567E"/>
    <w:rsid w:val="00465A13"/>
    <w:rsid w:val="00471650"/>
    <w:rsid w:val="004830F9"/>
    <w:rsid w:val="0048460F"/>
    <w:rsid w:val="0049297F"/>
    <w:rsid w:val="004940A3"/>
    <w:rsid w:val="00495663"/>
    <w:rsid w:val="0049745A"/>
    <w:rsid w:val="004A5055"/>
    <w:rsid w:val="004B3794"/>
    <w:rsid w:val="004B4973"/>
    <w:rsid w:val="004C77D9"/>
    <w:rsid w:val="004D1126"/>
    <w:rsid w:val="004E10E4"/>
    <w:rsid w:val="004E4171"/>
    <w:rsid w:val="004E5CE8"/>
    <w:rsid w:val="004E7207"/>
    <w:rsid w:val="004F396B"/>
    <w:rsid w:val="004F53AC"/>
    <w:rsid w:val="004F55F2"/>
    <w:rsid w:val="004F5F06"/>
    <w:rsid w:val="004F6EE4"/>
    <w:rsid w:val="00501934"/>
    <w:rsid w:val="005039C5"/>
    <w:rsid w:val="00504333"/>
    <w:rsid w:val="00505371"/>
    <w:rsid w:val="00511CB1"/>
    <w:rsid w:val="0051291D"/>
    <w:rsid w:val="00530EC2"/>
    <w:rsid w:val="00543099"/>
    <w:rsid w:val="00544657"/>
    <w:rsid w:val="005458E5"/>
    <w:rsid w:val="00547EA1"/>
    <w:rsid w:val="00556CC4"/>
    <w:rsid w:val="00557DC0"/>
    <w:rsid w:val="005625FD"/>
    <w:rsid w:val="005631EA"/>
    <w:rsid w:val="0057242A"/>
    <w:rsid w:val="00583EAA"/>
    <w:rsid w:val="005901F2"/>
    <w:rsid w:val="0059119A"/>
    <w:rsid w:val="005A0537"/>
    <w:rsid w:val="005A3159"/>
    <w:rsid w:val="005B20E8"/>
    <w:rsid w:val="005B543C"/>
    <w:rsid w:val="005C4CD2"/>
    <w:rsid w:val="005C5D04"/>
    <w:rsid w:val="005E109A"/>
    <w:rsid w:val="005E3E4B"/>
    <w:rsid w:val="005F126C"/>
    <w:rsid w:val="0060359A"/>
    <w:rsid w:val="00606ECF"/>
    <w:rsid w:val="00610183"/>
    <w:rsid w:val="006270BB"/>
    <w:rsid w:val="00631ADE"/>
    <w:rsid w:val="00631F27"/>
    <w:rsid w:val="00637BEC"/>
    <w:rsid w:val="00643611"/>
    <w:rsid w:val="0064372E"/>
    <w:rsid w:val="0064513C"/>
    <w:rsid w:val="00646363"/>
    <w:rsid w:val="00647024"/>
    <w:rsid w:val="00654159"/>
    <w:rsid w:val="006577B9"/>
    <w:rsid w:val="00657C5F"/>
    <w:rsid w:val="006632B8"/>
    <w:rsid w:val="00666A6B"/>
    <w:rsid w:val="006723C5"/>
    <w:rsid w:val="00675B72"/>
    <w:rsid w:val="006914E1"/>
    <w:rsid w:val="00692DC8"/>
    <w:rsid w:val="006A391B"/>
    <w:rsid w:val="006B4620"/>
    <w:rsid w:val="006C0328"/>
    <w:rsid w:val="006C15EF"/>
    <w:rsid w:val="006C2720"/>
    <w:rsid w:val="006C279D"/>
    <w:rsid w:val="006C71F8"/>
    <w:rsid w:val="006D0D16"/>
    <w:rsid w:val="006D39FA"/>
    <w:rsid w:val="006E3688"/>
    <w:rsid w:val="006E7461"/>
    <w:rsid w:val="006F0D94"/>
    <w:rsid w:val="006F20A0"/>
    <w:rsid w:val="006F4504"/>
    <w:rsid w:val="00704110"/>
    <w:rsid w:val="007275F2"/>
    <w:rsid w:val="007339E6"/>
    <w:rsid w:val="0073407F"/>
    <w:rsid w:val="00736069"/>
    <w:rsid w:val="00764858"/>
    <w:rsid w:val="00765753"/>
    <w:rsid w:val="0076743E"/>
    <w:rsid w:val="00770DEB"/>
    <w:rsid w:val="0078583B"/>
    <w:rsid w:val="0079235F"/>
    <w:rsid w:val="00794FF0"/>
    <w:rsid w:val="0079626B"/>
    <w:rsid w:val="00797B2D"/>
    <w:rsid w:val="007A1BD0"/>
    <w:rsid w:val="007A500B"/>
    <w:rsid w:val="007C4C55"/>
    <w:rsid w:val="007D21A6"/>
    <w:rsid w:val="007D50B6"/>
    <w:rsid w:val="007D5209"/>
    <w:rsid w:val="007E19CF"/>
    <w:rsid w:val="007E4FEE"/>
    <w:rsid w:val="007E693D"/>
    <w:rsid w:val="007F0002"/>
    <w:rsid w:val="007F036B"/>
    <w:rsid w:val="007F1D0C"/>
    <w:rsid w:val="007F698F"/>
    <w:rsid w:val="00806C07"/>
    <w:rsid w:val="00806F54"/>
    <w:rsid w:val="00811216"/>
    <w:rsid w:val="00817E30"/>
    <w:rsid w:val="008253BA"/>
    <w:rsid w:val="0082570F"/>
    <w:rsid w:val="008320CC"/>
    <w:rsid w:val="0087168D"/>
    <w:rsid w:val="0087275F"/>
    <w:rsid w:val="008810BD"/>
    <w:rsid w:val="008824AD"/>
    <w:rsid w:val="00892568"/>
    <w:rsid w:val="0089642E"/>
    <w:rsid w:val="00896B6B"/>
    <w:rsid w:val="008A3605"/>
    <w:rsid w:val="008B152E"/>
    <w:rsid w:val="008B15C9"/>
    <w:rsid w:val="008B311B"/>
    <w:rsid w:val="008B50F4"/>
    <w:rsid w:val="008B6729"/>
    <w:rsid w:val="008C2066"/>
    <w:rsid w:val="008C567D"/>
    <w:rsid w:val="008C7E69"/>
    <w:rsid w:val="008E04C9"/>
    <w:rsid w:val="008E3E24"/>
    <w:rsid w:val="008E4BFC"/>
    <w:rsid w:val="008E62D7"/>
    <w:rsid w:val="008E6715"/>
    <w:rsid w:val="008F2745"/>
    <w:rsid w:val="008F6566"/>
    <w:rsid w:val="009033DB"/>
    <w:rsid w:val="009050DA"/>
    <w:rsid w:val="009068CF"/>
    <w:rsid w:val="0090772E"/>
    <w:rsid w:val="00910FAC"/>
    <w:rsid w:val="00920079"/>
    <w:rsid w:val="009251F8"/>
    <w:rsid w:val="00936968"/>
    <w:rsid w:val="009419A5"/>
    <w:rsid w:val="00965ACE"/>
    <w:rsid w:val="0096775F"/>
    <w:rsid w:val="00975EBE"/>
    <w:rsid w:val="009808BD"/>
    <w:rsid w:val="009811B5"/>
    <w:rsid w:val="0098476D"/>
    <w:rsid w:val="00987F7A"/>
    <w:rsid w:val="00990677"/>
    <w:rsid w:val="00990E61"/>
    <w:rsid w:val="0099234D"/>
    <w:rsid w:val="00997434"/>
    <w:rsid w:val="009B0FBA"/>
    <w:rsid w:val="009B1CB0"/>
    <w:rsid w:val="009B1E7B"/>
    <w:rsid w:val="009B252A"/>
    <w:rsid w:val="009B2849"/>
    <w:rsid w:val="009B495C"/>
    <w:rsid w:val="009C3F3C"/>
    <w:rsid w:val="009D24B0"/>
    <w:rsid w:val="009D256C"/>
    <w:rsid w:val="009E009F"/>
    <w:rsid w:val="009E0335"/>
    <w:rsid w:val="009F4159"/>
    <w:rsid w:val="00A00BA7"/>
    <w:rsid w:val="00A02213"/>
    <w:rsid w:val="00A05D6F"/>
    <w:rsid w:val="00A22847"/>
    <w:rsid w:val="00A333F1"/>
    <w:rsid w:val="00A336FE"/>
    <w:rsid w:val="00A3422F"/>
    <w:rsid w:val="00A36D79"/>
    <w:rsid w:val="00A47E38"/>
    <w:rsid w:val="00A56387"/>
    <w:rsid w:val="00A56F67"/>
    <w:rsid w:val="00A67532"/>
    <w:rsid w:val="00A92981"/>
    <w:rsid w:val="00A9377D"/>
    <w:rsid w:val="00A95638"/>
    <w:rsid w:val="00AA481C"/>
    <w:rsid w:val="00AA61E0"/>
    <w:rsid w:val="00AA6C11"/>
    <w:rsid w:val="00AB1747"/>
    <w:rsid w:val="00AB395E"/>
    <w:rsid w:val="00AC059B"/>
    <w:rsid w:val="00AC405F"/>
    <w:rsid w:val="00AD1D66"/>
    <w:rsid w:val="00AE1288"/>
    <w:rsid w:val="00AE1303"/>
    <w:rsid w:val="00AE3C04"/>
    <w:rsid w:val="00AE6C26"/>
    <w:rsid w:val="00AE763A"/>
    <w:rsid w:val="00AF5B92"/>
    <w:rsid w:val="00B0595D"/>
    <w:rsid w:val="00B07AA1"/>
    <w:rsid w:val="00B1035D"/>
    <w:rsid w:val="00B14A75"/>
    <w:rsid w:val="00B15FBA"/>
    <w:rsid w:val="00B1767A"/>
    <w:rsid w:val="00B205BE"/>
    <w:rsid w:val="00B27754"/>
    <w:rsid w:val="00B34AD3"/>
    <w:rsid w:val="00B43319"/>
    <w:rsid w:val="00B46763"/>
    <w:rsid w:val="00B47B0B"/>
    <w:rsid w:val="00B55384"/>
    <w:rsid w:val="00B579AF"/>
    <w:rsid w:val="00B64A9F"/>
    <w:rsid w:val="00B713F9"/>
    <w:rsid w:val="00B72EB2"/>
    <w:rsid w:val="00B7384D"/>
    <w:rsid w:val="00B73CA9"/>
    <w:rsid w:val="00B833AD"/>
    <w:rsid w:val="00B90558"/>
    <w:rsid w:val="00B91AB7"/>
    <w:rsid w:val="00B92946"/>
    <w:rsid w:val="00BA21D6"/>
    <w:rsid w:val="00BB0606"/>
    <w:rsid w:val="00BB382B"/>
    <w:rsid w:val="00BC14FD"/>
    <w:rsid w:val="00BD00E0"/>
    <w:rsid w:val="00BD0A3D"/>
    <w:rsid w:val="00BD1CBC"/>
    <w:rsid w:val="00BD3770"/>
    <w:rsid w:val="00BD4796"/>
    <w:rsid w:val="00BE1D95"/>
    <w:rsid w:val="00BE39C5"/>
    <w:rsid w:val="00BE61C9"/>
    <w:rsid w:val="00BF124C"/>
    <w:rsid w:val="00BF7E81"/>
    <w:rsid w:val="00C021C1"/>
    <w:rsid w:val="00C06BA6"/>
    <w:rsid w:val="00C3048D"/>
    <w:rsid w:val="00C33450"/>
    <w:rsid w:val="00C33A06"/>
    <w:rsid w:val="00C523A9"/>
    <w:rsid w:val="00C5442F"/>
    <w:rsid w:val="00C64765"/>
    <w:rsid w:val="00C65186"/>
    <w:rsid w:val="00C81024"/>
    <w:rsid w:val="00C82D6B"/>
    <w:rsid w:val="00C82F70"/>
    <w:rsid w:val="00C85A96"/>
    <w:rsid w:val="00C96562"/>
    <w:rsid w:val="00C977F5"/>
    <w:rsid w:val="00CA08E6"/>
    <w:rsid w:val="00CB648C"/>
    <w:rsid w:val="00CC1B33"/>
    <w:rsid w:val="00CC2FE6"/>
    <w:rsid w:val="00CC3C01"/>
    <w:rsid w:val="00CE6BD1"/>
    <w:rsid w:val="00CE7C6D"/>
    <w:rsid w:val="00D21A25"/>
    <w:rsid w:val="00D3388F"/>
    <w:rsid w:val="00D33C58"/>
    <w:rsid w:val="00D357C6"/>
    <w:rsid w:val="00D4725B"/>
    <w:rsid w:val="00D55CB5"/>
    <w:rsid w:val="00D56C54"/>
    <w:rsid w:val="00D63D24"/>
    <w:rsid w:val="00D8627A"/>
    <w:rsid w:val="00D871C7"/>
    <w:rsid w:val="00D93223"/>
    <w:rsid w:val="00D9559A"/>
    <w:rsid w:val="00D95E5A"/>
    <w:rsid w:val="00DA3028"/>
    <w:rsid w:val="00DB06D7"/>
    <w:rsid w:val="00DC2D60"/>
    <w:rsid w:val="00DD3CC3"/>
    <w:rsid w:val="00DE1BAE"/>
    <w:rsid w:val="00DE28A8"/>
    <w:rsid w:val="00DE5EA7"/>
    <w:rsid w:val="00DF0DE8"/>
    <w:rsid w:val="00DF3FC8"/>
    <w:rsid w:val="00DF4CB0"/>
    <w:rsid w:val="00DF72C9"/>
    <w:rsid w:val="00E00F62"/>
    <w:rsid w:val="00E01BB1"/>
    <w:rsid w:val="00E024AF"/>
    <w:rsid w:val="00E15E08"/>
    <w:rsid w:val="00E2268A"/>
    <w:rsid w:val="00E303C0"/>
    <w:rsid w:val="00E3212D"/>
    <w:rsid w:val="00E4033E"/>
    <w:rsid w:val="00E42271"/>
    <w:rsid w:val="00E4667E"/>
    <w:rsid w:val="00E51AAF"/>
    <w:rsid w:val="00E53596"/>
    <w:rsid w:val="00E54AD5"/>
    <w:rsid w:val="00E64E2F"/>
    <w:rsid w:val="00E67E7D"/>
    <w:rsid w:val="00E71A24"/>
    <w:rsid w:val="00E74C62"/>
    <w:rsid w:val="00E75EFD"/>
    <w:rsid w:val="00E8165C"/>
    <w:rsid w:val="00E81B8C"/>
    <w:rsid w:val="00E941D5"/>
    <w:rsid w:val="00EA233D"/>
    <w:rsid w:val="00EA3C89"/>
    <w:rsid w:val="00EB33C4"/>
    <w:rsid w:val="00EB5EDA"/>
    <w:rsid w:val="00EC26E9"/>
    <w:rsid w:val="00ED15DB"/>
    <w:rsid w:val="00F14274"/>
    <w:rsid w:val="00F142AB"/>
    <w:rsid w:val="00F15215"/>
    <w:rsid w:val="00F24E15"/>
    <w:rsid w:val="00F2638E"/>
    <w:rsid w:val="00F26B63"/>
    <w:rsid w:val="00F332F9"/>
    <w:rsid w:val="00F41855"/>
    <w:rsid w:val="00F50BB5"/>
    <w:rsid w:val="00F5285E"/>
    <w:rsid w:val="00F556F5"/>
    <w:rsid w:val="00F57013"/>
    <w:rsid w:val="00F6050B"/>
    <w:rsid w:val="00F60A26"/>
    <w:rsid w:val="00F65A64"/>
    <w:rsid w:val="00F6739E"/>
    <w:rsid w:val="00F70B43"/>
    <w:rsid w:val="00F7540F"/>
    <w:rsid w:val="00F769D3"/>
    <w:rsid w:val="00F85CB7"/>
    <w:rsid w:val="00FA3ACF"/>
    <w:rsid w:val="00FA4FE1"/>
    <w:rsid w:val="00FA603A"/>
    <w:rsid w:val="00FB40AF"/>
    <w:rsid w:val="00FB4D4F"/>
    <w:rsid w:val="00FB7D3A"/>
    <w:rsid w:val="00FC5320"/>
    <w:rsid w:val="00FD021A"/>
    <w:rsid w:val="00FD2F93"/>
    <w:rsid w:val="00FF59E7"/>
    <w:rsid w:val="017059CB"/>
    <w:rsid w:val="02053221"/>
    <w:rsid w:val="02B3D979"/>
    <w:rsid w:val="02EFCB05"/>
    <w:rsid w:val="031857F7"/>
    <w:rsid w:val="035D61EB"/>
    <w:rsid w:val="0440216A"/>
    <w:rsid w:val="0559BEA2"/>
    <w:rsid w:val="059AF6EB"/>
    <w:rsid w:val="05B13246"/>
    <w:rsid w:val="0626CC87"/>
    <w:rsid w:val="062A32C4"/>
    <w:rsid w:val="074D02A7"/>
    <w:rsid w:val="07568E5C"/>
    <w:rsid w:val="0778CDB9"/>
    <w:rsid w:val="07F72BA0"/>
    <w:rsid w:val="08C21055"/>
    <w:rsid w:val="08DD2758"/>
    <w:rsid w:val="08E8D308"/>
    <w:rsid w:val="0912E9BF"/>
    <w:rsid w:val="0951FE83"/>
    <w:rsid w:val="0ABCAD49"/>
    <w:rsid w:val="0B168760"/>
    <w:rsid w:val="0B17ADBC"/>
    <w:rsid w:val="0BF5526C"/>
    <w:rsid w:val="0C6F2063"/>
    <w:rsid w:val="0D50ADBA"/>
    <w:rsid w:val="0DDC7101"/>
    <w:rsid w:val="0E562038"/>
    <w:rsid w:val="1112C670"/>
    <w:rsid w:val="11E2BD87"/>
    <w:rsid w:val="129F09F0"/>
    <w:rsid w:val="13125AF3"/>
    <w:rsid w:val="149E2829"/>
    <w:rsid w:val="1547C072"/>
    <w:rsid w:val="15AE9A4C"/>
    <w:rsid w:val="1602DA6F"/>
    <w:rsid w:val="169D22F3"/>
    <w:rsid w:val="16CC6C7B"/>
    <w:rsid w:val="1718A0D7"/>
    <w:rsid w:val="179EAAD0"/>
    <w:rsid w:val="17D0B755"/>
    <w:rsid w:val="17E362C5"/>
    <w:rsid w:val="18C014DF"/>
    <w:rsid w:val="18E8EE48"/>
    <w:rsid w:val="18FFEB96"/>
    <w:rsid w:val="191D790D"/>
    <w:rsid w:val="19C01979"/>
    <w:rsid w:val="1A122D80"/>
    <w:rsid w:val="1AB36389"/>
    <w:rsid w:val="1AF1EDBD"/>
    <w:rsid w:val="1B2B53C9"/>
    <w:rsid w:val="1C378C58"/>
    <w:rsid w:val="1E57826E"/>
    <w:rsid w:val="1F4A8C87"/>
    <w:rsid w:val="1F5FCE4C"/>
    <w:rsid w:val="2002C685"/>
    <w:rsid w:val="2060A1E9"/>
    <w:rsid w:val="20B97429"/>
    <w:rsid w:val="20E35115"/>
    <w:rsid w:val="221CAD2D"/>
    <w:rsid w:val="22E06D74"/>
    <w:rsid w:val="239D586C"/>
    <w:rsid w:val="248874A5"/>
    <w:rsid w:val="2498D003"/>
    <w:rsid w:val="25451D4D"/>
    <w:rsid w:val="25544DEF"/>
    <w:rsid w:val="25F04E10"/>
    <w:rsid w:val="26F74CAB"/>
    <w:rsid w:val="26FF30A9"/>
    <w:rsid w:val="272306DC"/>
    <w:rsid w:val="2798B5FD"/>
    <w:rsid w:val="27BE15D6"/>
    <w:rsid w:val="2853BB8E"/>
    <w:rsid w:val="2943CB22"/>
    <w:rsid w:val="2A72B77A"/>
    <w:rsid w:val="2ACB228B"/>
    <w:rsid w:val="2B4D79CF"/>
    <w:rsid w:val="2B5936CF"/>
    <w:rsid w:val="2BD35733"/>
    <w:rsid w:val="2C958DBA"/>
    <w:rsid w:val="2CD231C9"/>
    <w:rsid w:val="2CEFE9C3"/>
    <w:rsid w:val="2E90BC7A"/>
    <w:rsid w:val="2EF8AA91"/>
    <w:rsid w:val="2F03AD9F"/>
    <w:rsid w:val="2F1A4CDF"/>
    <w:rsid w:val="2F8B288B"/>
    <w:rsid w:val="2FAFF086"/>
    <w:rsid w:val="305DE013"/>
    <w:rsid w:val="3238C217"/>
    <w:rsid w:val="328EBEEB"/>
    <w:rsid w:val="32E2D56A"/>
    <w:rsid w:val="332B79CB"/>
    <w:rsid w:val="3383D69C"/>
    <w:rsid w:val="343F9223"/>
    <w:rsid w:val="350FC404"/>
    <w:rsid w:val="37255EC4"/>
    <w:rsid w:val="372EAD10"/>
    <w:rsid w:val="3748F489"/>
    <w:rsid w:val="375197FF"/>
    <w:rsid w:val="37FE3F2D"/>
    <w:rsid w:val="38C12F25"/>
    <w:rsid w:val="3918E274"/>
    <w:rsid w:val="397C8C31"/>
    <w:rsid w:val="399D2A81"/>
    <w:rsid w:val="39F66341"/>
    <w:rsid w:val="3A919CB2"/>
    <w:rsid w:val="3A9EC71E"/>
    <w:rsid w:val="3AAA15D1"/>
    <w:rsid w:val="3AD7AD4A"/>
    <w:rsid w:val="3BBB2E0B"/>
    <w:rsid w:val="3BE43079"/>
    <w:rsid w:val="3BE87489"/>
    <w:rsid w:val="3BF8CFE7"/>
    <w:rsid w:val="3CE417CD"/>
    <w:rsid w:val="3D7B77EB"/>
    <w:rsid w:val="3E51D93B"/>
    <w:rsid w:val="3E824E22"/>
    <w:rsid w:val="3F290945"/>
    <w:rsid w:val="40B318AD"/>
    <w:rsid w:val="41100909"/>
    <w:rsid w:val="4169D237"/>
    <w:rsid w:val="419F8313"/>
    <w:rsid w:val="4243648C"/>
    <w:rsid w:val="425451BA"/>
    <w:rsid w:val="425F8A9C"/>
    <w:rsid w:val="43A9FAC0"/>
    <w:rsid w:val="43C63FF0"/>
    <w:rsid w:val="43EEB57E"/>
    <w:rsid w:val="451899B3"/>
    <w:rsid w:val="45563CC1"/>
    <w:rsid w:val="47011B70"/>
    <w:rsid w:val="47454AFA"/>
    <w:rsid w:val="47854D92"/>
    <w:rsid w:val="478F48F8"/>
    <w:rsid w:val="47F1A3A5"/>
    <w:rsid w:val="481E62E4"/>
    <w:rsid w:val="4AAC5268"/>
    <w:rsid w:val="4B2A961A"/>
    <w:rsid w:val="4C7E38ED"/>
    <w:rsid w:val="4C8F42F6"/>
    <w:rsid w:val="4CD4114F"/>
    <w:rsid w:val="4D447E3C"/>
    <w:rsid w:val="4D7F648B"/>
    <w:rsid w:val="4F1719F6"/>
    <w:rsid w:val="4FE03A81"/>
    <w:rsid w:val="5039FAFF"/>
    <w:rsid w:val="5079296F"/>
    <w:rsid w:val="50C0EB45"/>
    <w:rsid w:val="50D90F5A"/>
    <w:rsid w:val="50FCE85C"/>
    <w:rsid w:val="523BA55A"/>
    <w:rsid w:val="525A9FA8"/>
    <w:rsid w:val="5270FE31"/>
    <w:rsid w:val="52A8D4D7"/>
    <w:rsid w:val="539B9BAB"/>
    <w:rsid w:val="53B3BFC0"/>
    <w:rsid w:val="5499D108"/>
    <w:rsid w:val="56B4940A"/>
    <w:rsid w:val="57301023"/>
    <w:rsid w:val="574DB507"/>
    <w:rsid w:val="579127C5"/>
    <w:rsid w:val="583D03EA"/>
    <w:rsid w:val="58D8E608"/>
    <w:rsid w:val="595B0099"/>
    <w:rsid w:val="5B4A0630"/>
    <w:rsid w:val="5C1CDB79"/>
    <w:rsid w:val="5C55A43C"/>
    <w:rsid w:val="5D4179A9"/>
    <w:rsid w:val="5EECA7BA"/>
    <w:rsid w:val="5F17E8F0"/>
    <w:rsid w:val="602778C2"/>
    <w:rsid w:val="60A9031D"/>
    <w:rsid w:val="6145083D"/>
    <w:rsid w:val="622DD069"/>
    <w:rsid w:val="63353869"/>
    <w:rsid w:val="64A47E20"/>
    <w:rsid w:val="64FDA00A"/>
    <w:rsid w:val="66955980"/>
    <w:rsid w:val="66B91EC1"/>
    <w:rsid w:val="6769FFC9"/>
    <w:rsid w:val="69CC66C0"/>
    <w:rsid w:val="6B773E1E"/>
    <w:rsid w:val="6BA14180"/>
    <w:rsid w:val="6C89A143"/>
    <w:rsid w:val="6D0D6803"/>
    <w:rsid w:val="6D5049A3"/>
    <w:rsid w:val="6E7BF1E6"/>
    <w:rsid w:val="6EA856A5"/>
    <w:rsid w:val="6EC26A5E"/>
    <w:rsid w:val="6FB2546D"/>
    <w:rsid w:val="708003C5"/>
    <w:rsid w:val="70F7B035"/>
    <w:rsid w:val="71B8FAE1"/>
    <w:rsid w:val="71D1673C"/>
    <w:rsid w:val="722F17EE"/>
    <w:rsid w:val="73FB27DB"/>
    <w:rsid w:val="7485D105"/>
    <w:rsid w:val="74C04AA2"/>
    <w:rsid w:val="75266833"/>
    <w:rsid w:val="75597000"/>
    <w:rsid w:val="77095774"/>
    <w:rsid w:val="7728FDAA"/>
    <w:rsid w:val="77E9AA2C"/>
    <w:rsid w:val="7866E527"/>
    <w:rsid w:val="78C80BA3"/>
    <w:rsid w:val="792DBC48"/>
    <w:rsid w:val="79C9428C"/>
    <w:rsid w:val="7A683547"/>
    <w:rsid w:val="7AB26780"/>
    <w:rsid w:val="7C22CDDE"/>
    <w:rsid w:val="7EC01CD4"/>
    <w:rsid w:val="7EFA572E"/>
    <w:rsid w:val="7F476D7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04066FE2"/>
  <w15:chartTrackingRefBased/>
  <w15:docId w15:val="{29E76180-7A11-4483-A099-6CD2D44F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FBA"/>
    <w:pPr>
      <w:jc w:val="both"/>
    </w:pPr>
    <w:rPr>
      <w:rFonts w:ascii="Arial" w:hAnsi="Arial"/>
      <w:sz w:val="20"/>
    </w:rPr>
  </w:style>
  <w:style w:type="paragraph" w:styleId="Heading1">
    <w:name w:val="heading 1"/>
    <w:basedOn w:val="Normal"/>
    <w:next w:val="Normal"/>
    <w:link w:val="Heading1Char"/>
    <w:uiPriority w:val="9"/>
    <w:qFormat/>
    <w:rsid w:val="00797B2D"/>
    <w:pPr>
      <w:numPr>
        <w:numId w:val="5"/>
      </w:numPr>
      <w:outlineLvl w:val="0"/>
    </w:pPr>
    <w:rPr>
      <w:rFonts w:cs="Arial"/>
      <w:b/>
      <w:bCs/>
      <w:color w:val="252567"/>
      <w:sz w:val="24"/>
    </w:rPr>
  </w:style>
  <w:style w:type="paragraph" w:styleId="Heading2">
    <w:name w:val="heading 2"/>
    <w:basedOn w:val="Normal"/>
    <w:next w:val="Normal"/>
    <w:link w:val="Heading2Char"/>
    <w:uiPriority w:val="9"/>
    <w:unhideWhenUsed/>
    <w:qFormat/>
    <w:rsid w:val="00765753"/>
    <w:pPr>
      <w:numPr>
        <w:ilvl w:val="1"/>
        <w:numId w:val="5"/>
      </w:numPr>
      <w:outlineLvl w:val="1"/>
    </w:pPr>
    <w:rPr>
      <w:rFonts w:cs="Arial"/>
    </w:rPr>
  </w:style>
  <w:style w:type="paragraph" w:styleId="Heading3">
    <w:name w:val="heading 3"/>
    <w:basedOn w:val="Normal"/>
    <w:next w:val="Normal"/>
    <w:link w:val="Heading3Char"/>
    <w:uiPriority w:val="9"/>
    <w:semiHidden/>
    <w:unhideWhenUsed/>
    <w:qFormat/>
    <w:rsid w:val="0098476D"/>
    <w:pPr>
      <w:keepNext/>
      <w:keepLines/>
      <w:numPr>
        <w:ilvl w:val="2"/>
        <w:numId w:val="5"/>
      </w:numPr>
      <w:spacing w:before="40" w:after="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9B495C"/>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B495C"/>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B495C"/>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B495C"/>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B495C"/>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495C"/>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568"/>
    <w:rPr>
      <w:color w:val="0563C1" w:themeColor="hyperlink"/>
      <w:u w:val="single"/>
    </w:rPr>
  </w:style>
  <w:style w:type="character" w:customStyle="1" w:styleId="UnresolvedMention1">
    <w:name w:val="Unresolved Mention1"/>
    <w:basedOn w:val="DefaultParagraphFont"/>
    <w:uiPriority w:val="99"/>
    <w:semiHidden/>
    <w:unhideWhenUsed/>
    <w:rsid w:val="00892568"/>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E1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D95"/>
    <w:rPr>
      <w:rFonts w:ascii="Segoe UI" w:hAnsi="Segoe UI" w:cs="Segoe UI"/>
      <w:sz w:val="18"/>
      <w:szCs w:val="18"/>
    </w:rPr>
  </w:style>
  <w:style w:type="paragraph" w:styleId="NoSpacing">
    <w:name w:val="No Spacing"/>
    <w:uiPriority w:val="1"/>
    <w:qFormat/>
    <w:rsid w:val="00F7540F"/>
    <w:pPr>
      <w:spacing w:after="0" w:line="240" w:lineRule="auto"/>
    </w:pPr>
    <w:rPr>
      <w:rFonts w:ascii="Arial" w:hAnsi="Arial"/>
      <w:sz w:val="20"/>
    </w:rPr>
  </w:style>
  <w:style w:type="paragraph" w:styleId="CommentSubject">
    <w:name w:val="annotation subject"/>
    <w:basedOn w:val="CommentText"/>
    <w:next w:val="CommentText"/>
    <w:link w:val="CommentSubjectChar"/>
    <w:uiPriority w:val="99"/>
    <w:semiHidden/>
    <w:unhideWhenUsed/>
    <w:rsid w:val="00AE763A"/>
    <w:rPr>
      <w:b/>
      <w:bCs/>
    </w:rPr>
  </w:style>
  <w:style w:type="character" w:customStyle="1" w:styleId="CommentSubjectChar">
    <w:name w:val="Comment Subject Char"/>
    <w:basedOn w:val="CommentTextChar"/>
    <w:link w:val="CommentSubject"/>
    <w:uiPriority w:val="99"/>
    <w:semiHidden/>
    <w:rsid w:val="00AE763A"/>
    <w:rPr>
      <w:b/>
      <w:bCs/>
      <w:sz w:val="20"/>
      <w:szCs w:val="20"/>
    </w:rPr>
  </w:style>
  <w:style w:type="character" w:customStyle="1" w:styleId="normaltextrun">
    <w:name w:val="normaltextrun"/>
    <w:basedOn w:val="DefaultParagraphFont"/>
    <w:rsid w:val="00A47E38"/>
  </w:style>
  <w:style w:type="character" w:customStyle="1" w:styleId="UnresolvedMention2">
    <w:name w:val="Unresolved Mention2"/>
    <w:basedOn w:val="DefaultParagraphFont"/>
    <w:uiPriority w:val="99"/>
    <w:semiHidden/>
    <w:unhideWhenUsed/>
    <w:rsid w:val="00806C07"/>
    <w:rPr>
      <w:color w:val="605E5C"/>
      <w:shd w:val="clear" w:color="auto" w:fill="E1DFDD"/>
    </w:rPr>
  </w:style>
  <w:style w:type="paragraph" w:styleId="NormalWeb">
    <w:name w:val="Normal (Web)"/>
    <w:basedOn w:val="Normal"/>
    <w:uiPriority w:val="99"/>
    <w:semiHidden/>
    <w:unhideWhenUsed/>
    <w:rsid w:val="002506E7"/>
    <w:rPr>
      <w:rFonts w:ascii="Times New Roman" w:hAnsi="Times New Roman" w:cs="Times New Roman"/>
      <w:sz w:val="24"/>
      <w:szCs w:val="24"/>
    </w:rPr>
  </w:style>
  <w:style w:type="character" w:customStyle="1" w:styleId="UnresolvedMention3">
    <w:name w:val="Unresolved Mention3"/>
    <w:basedOn w:val="DefaultParagraphFont"/>
    <w:uiPriority w:val="99"/>
    <w:semiHidden/>
    <w:unhideWhenUsed/>
    <w:rsid w:val="0040731F"/>
    <w:rPr>
      <w:color w:val="605E5C"/>
      <w:shd w:val="clear" w:color="auto" w:fill="E1DFDD"/>
    </w:rPr>
  </w:style>
  <w:style w:type="paragraph" w:styleId="ListParagraph">
    <w:name w:val="List Paragraph"/>
    <w:basedOn w:val="Normal"/>
    <w:uiPriority w:val="34"/>
    <w:qFormat/>
    <w:rsid w:val="008320CC"/>
    <w:pPr>
      <w:ind w:left="720"/>
      <w:contextualSpacing/>
    </w:pPr>
  </w:style>
  <w:style w:type="table" w:styleId="PlainTable1">
    <w:name w:val="Plain Table 1"/>
    <w:basedOn w:val="TableNormal"/>
    <w:uiPriority w:val="41"/>
    <w:rsid w:val="009050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2">
    <w:name w:val="Body Text Indent 2"/>
    <w:basedOn w:val="Normal"/>
    <w:link w:val="BodyTextIndent2Char"/>
    <w:uiPriority w:val="99"/>
    <w:semiHidden/>
    <w:rsid w:val="009050DA"/>
    <w:pPr>
      <w:spacing w:after="0" w:line="240" w:lineRule="auto"/>
      <w:ind w:left="720"/>
    </w:pPr>
    <w:rPr>
      <w:rFonts w:ascii="Times New Roman" w:eastAsia="Times New Roman" w:hAnsi="Times New Roman" w:cs="Times New Roman"/>
      <w:szCs w:val="20"/>
      <w:lang w:val="x-none"/>
    </w:rPr>
  </w:style>
  <w:style w:type="character" w:customStyle="1" w:styleId="BodyTextIndent2Char">
    <w:name w:val="Body Text Indent 2 Char"/>
    <w:basedOn w:val="DefaultParagraphFont"/>
    <w:link w:val="BodyTextIndent2"/>
    <w:uiPriority w:val="99"/>
    <w:semiHidden/>
    <w:rsid w:val="009050DA"/>
    <w:rPr>
      <w:rFonts w:ascii="Times New Roman" w:eastAsia="Times New Roman" w:hAnsi="Times New Roman" w:cs="Times New Roman"/>
      <w:sz w:val="20"/>
      <w:szCs w:val="20"/>
      <w:lang w:val="x-none"/>
    </w:rPr>
  </w:style>
  <w:style w:type="paragraph" w:styleId="Revision">
    <w:name w:val="Revision"/>
    <w:hidden/>
    <w:uiPriority w:val="99"/>
    <w:semiHidden/>
    <w:rsid w:val="00400B0F"/>
    <w:pPr>
      <w:spacing w:after="0" w:line="240" w:lineRule="auto"/>
    </w:pPr>
  </w:style>
  <w:style w:type="paragraph" w:styleId="TOC1">
    <w:name w:val="toc 1"/>
    <w:basedOn w:val="Normal"/>
    <w:next w:val="Normal"/>
    <w:uiPriority w:val="39"/>
    <w:rsid w:val="00B72EB2"/>
    <w:pPr>
      <w:spacing w:before="120" w:after="0"/>
    </w:pPr>
    <w:rPr>
      <w:rFonts w:cstheme="minorHAnsi"/>
      <w:bCs/>
      <w:iCs/>
      <w:szCs w:val="24"/>
    </w:rPr>
  </w:style>
  <w:style w:type="paragraph" w:styleId="TOC2">
    <w:name w:val="toc 2"/>
    <w:basedOn w:val="Normal"/>
    <w:next w:val="Normal"/>
    <w:uiPriority w:val="39"/>
    <w:rsid w:val="009B2849"/>
    <w:pPr>
      <w:spacing w:before="120" w:after="0"/>
      <w:ind w:left="220"/>
    </w:pPr>
    <w:rPr>
      <w:rFonts w:cstheme="minorHAnsi"/>
      <w:b/>
      <w:bCs/>
    </w:rPr>
  </w:style>
  <w:style w:type="character" w:customStyle="1" w:styleId="Heading1Char">
    <w:name w:val="Heading 1 Char"/>
    <w:basedOn w:val="DefaultParagraphFont"/>
    <w:link w:val="Heading1"/>
    <w:uiPriority w:val="9"/>
    <w:rsid w:val="00797B2D"/>
    <w:rPr>
      <w:rFonts w:ascii="Arial" w:hAnsi="Arial" w:cs="Arial"/>
      <w:b/>
      <w:bCs/>
      <w:color w:val="252567"/>
      <w:sz w:val="24"/>
    </w:rPr>
  </w:style>
  <w:style w:type="paragraph" w:styleId="TOCHeading">
    <w:name w:val="TOC Heading"/>
    <w:basedOn w:val="Heading1"/>
    <w:next w:val="Normal"/>
    <w:uiPriority w:val="39"/>
    <w:unhideWhenUsed/>
    <w:qFormat/>
    <w:rsid w:val="00E42271"/>
    <w:pPr>
      <w:spacing w:before="480" w:line="276" w:lineRule="auto"/>
      <w:outlineLvl w:val="9"/>
    </w:pPr>
    <w:rPr>
      <w:b w:val="0"/>
      <w:bCs w:val="0"/>
      <w:sz w:val="28"/>
      <w:szCs w:val="28"/>
      <w:lang w:val="en-US"/>
    </w:rPr>
  </w:style>
  <w:style w:type="paragraph" w:styleId="TOC3">
    <w:name w:val="toc 3"/>
    <w:basedOn w:val="Normal"/>
    <w:next w:val="Normal"/>
    <w:autoRedefine/>
    <w:uiPriority w:val="39"/>
    <w:semiHidden/>
    <w:unhideWhenUsed/>
    <w:rsid w:val="00E42271"/>
    <w:pPr>
      <w:spacing w:after="0"/>
      <w:ind w:left="440"/>
    </w:pPr>
    <w:rPr>
      <w:rFonts w:cstheme="minorHAnsi"/>
      <w:szCs w:val="20"/>
    </w:rPr>
  </w:style>
  <w:style w:type="paragraph" w:styleId="TOC4">
    <w:name w:val="toc 4"/>
    <w:basedOn w:val="Normal"/>
    <w:next w:val="Normal"/>
    <w:autoRedefine/>
    <w:uiPriority w:val="39"/>
    <w:semiHidden/>
    <w:unhideWhenUsed/>
    <w:rsid w:val="00E42271"/>
    <w:pPr>
      <w:spacing w:after="0"/>
      <w:ind w:left="660"/>
    </w:pPr>
    <w:rPr>
      <w:rFonts w:cstheme="minorHAnsi"/>
      <w:szCs w:val="20"/>
    </w:rPr>
  </w:style>
  <w:style w:type="paragraph" w:styleId="TOC5">
    <w:name w:val="toc 5"/>
    <w:basedOn w:val="Normal"/>
    <w:next w:val="Normal"/>
    <w:autoRedefine/>
    <w:uiPriority w:val="39"/>
    <w:semiHidden/>
    <w:unhideWhenUsed/>
    <w:rsid w:val="00E42271"/>
    <w:pPr>
      <w:spacing w:after="0"/>
      <w:ind w:left="880"/>
    </w:pPr>
    <w:rPr>
      <w:rFonts w:cstheme="minorHAnsi"/>
      <w:szCs w:val="20"/>
    </w:rPr>
  </w:style>
  <w:style w:type="paragraph" w:styleId="TOC6">
    <w:name w:val="toc 6"/>
    <w:basedOn w:val="Normal"/>
    <w:next w:val="Normal"/>
    <w:autoRedefine/>
    <w:uiPriority w:val="39"/>
    <w:semiHidden/>
    <w:unhideWhenUsed/>
    <w:rsid w:val="00E42271"/>
    <w:pPr>
      <w:spacing w:after="0"/>
      <w:ind w:left="1100"/>
    </w:pPr>
    <w:rPr>
      <w:rFonts w:cstheme="minorHAnsi"/>
      <w:szCs w:val="20"/>
    </w:rPr>
  </w:style>
  <w:style w:type="paragraph" w:styleId="TOC7">
    <w:name w:val="toc 7"/>
    <w:basedOn w:val="Normal"/>
    <w:next w:val="Normal"/>
    <w:autoRedefine/>
    <w:uiPriority w:val="39"/>
    <w:semiHidden/>
    <w:unhideWhenUsed/>
    <w:rsid w:val="00E42271"/>
    <w:pPr>
      <w:spacing w:after="0"/>
      <w:ind w:left="1320"/>
    </w:pPr>
    <w:rPr>
      <w:rFonts w:cstheme="minorHAnsi"/>
      <w:szCs w:val="20"/>
    </w:rPr>
  </w:style>
  <w:style w:type="paragraph" w:styleId="TOC8">
    <w:name w:val="toc 8"/>
    <w:basedOn w:val="Normal"/>
    <w:next w:val="Normal"/>
    <w:autoRedefine/>
    <w:uiPriority w:val="39"/>
    <w:semiHidden/>
    <w:unhideWhenUsed/>
    <w:rsid w:val="00E42271"/>
    <w:pPr>
      <w:spacing w:after="0"/>
      <w:ind w:left="1540"/>
    </w:pPr>
    <w:rPr>
      <w:rFonts w:cstheme="minorHAnsi"/>
      <w:szCs w:val="20"/>
    </w:rPr>
  </w:style>
  <w:style w:type="paragraph" w:styleId="TOC9">
    <w:name w:val="toc 9"/>
    <w:basedOn w:val="Normal"/>
    <w:next w:val="Normal"/>
    <w:autoRedefine/>
    <w:uiPriority w:val="39"/>
    <w:semiHidden/>
    <w:unhideWhenUsed/>
    <w:rsid w:val="00E42271"/>
    <w:pPr>
      <w:spacing w:after="0"/>
      <w:ind w:left="1760"/>
    </w:pPr>
    <w:rPr>
      <w:rFonts w:cstheme="minorHAnsi"/>
      <w:szCs w:val="20"/>
    </w:rPr>
  </w:style>
  <w:style w:type="character" w:customStyle="1" w:styleId="Heading2Char">
    <w:name w:val="Heading 2 Char"/>
    <w:basedOn w:val="DefaultParagraphFont"/>
    <w:link w:val="Heading2"/>
    <w:uiPriority w:val="9"/>
    <w:rsid w:val="00765753"/>
    <w:rPr>
      <w:rFonts w:ascii="Arial" w:hAnsi="Arial" w:cs="Arial"/>
      <w:sz w:val="20"/>
    </w:rPr>
  </w:style>
  <w:style w:type="numbering" w:customStyle="1" w:styleId="CurrentList1">
    <w:name w:val="Current List1"/>
    <w:uiPriority w:val="99"/>
    <w:rsid w:val="004F53AC"/>
    <w:pPr>
      <w:numPr>
        <w:numId w:val="3"/>
      </w:numPr>
    </w:pPr>
  </w:style>
  <w:style w:type="numbering" w:styleId="111111">
    <w:name w:val="Outline List 2"/>
    <w:basedOn w:val="NoList"/>
    <w:uiPriority w:val="99"/>
    <w:semiHidden/>
    <w:unhideWhenUsed/>
    <w:rsid w:val="004F53AC"/>
    <w:pPr>
      <w:numPr>
        <w:numId w:val="4"/>
      </w:numPr>
    </w:pPr>
  </w:style>
  <w:style w:type="character" w:customStyle="1" w:styleId="Heading3Char">
    <w:name w:val="Heading 3 Char"/>
    <w:basedOn w:val="DefaultParagraphFont"/>
    <w:link w:val="Heading3"/>
    <w:uiPriority w:val="9"/>
    <w:semiHidden/>
    <w:rsid w:val="0098476D"/>
    <w:rPr>
      <w:rFonts w:ascii="Arial" w:eastAsiaTheme="majorEastAsia" w:hAnsi="Arial" w:cstheme="majorBidi"/>
      <w:color w:val="1F3763" w:themeColor="accent1" w:themeShade="7F"/>
      <w:sz w:val="20"/>
      <w:szCs w:val="24"/>
    </w:rPr>
  </w:style>
  <w:style w:type="character" w:customStyle="1" w:styleId="Heading4Char">
    <w:name w:val="Heading 4 Char"/>
    <w:basedOn w:val="DefaultParagraphFont"/>
    <w:link w:val="Heading4"/>
    <w:uiPriority w:val="9"/>
    <w:semiHidden/>
    <w:rsid w:val="009B495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B495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B495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B495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B49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495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9E0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71070">
      <w:bodyDiv w:val="1"/>
      <w:marLeft w:val="0"/>
      <w:marRight w:val="0"/>
      <w:marTop w:val="0"/>
      <w:marBottom w:val="0"/>
      <w:divBdr>
        <w:top w:val="none" w:sz="0" w:space="0" w:color="auto"/>
        <w:left w:val="none" w:sz="0" w:space="0" w:color="auto"/>
        <w:bottom w:val="none" w:sz="0" w:space="0" w:color="auto"/>
        <w:right w:val="none" w:sz="0" w:space="0" w:color="auto"/>
      </w:divBdr>
    </w:div>
    <w:div w:id="144580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tb@austin.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tb@austin.org.au" TargetMode="External"/><Relationship Id="rId5" Type="http://schemas.openxmlformats.org/officeDocument/2006/relationships/numbering" Target="numbering.xml"/><Relationship Id="rId15" Type="http://schemas.openxmlformats.org/officeDocument/2006/relationships/hyperlink" Target="mailto:adtb@austin.org.au"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mje.org/recommendations/browse/roles-and-responsibilities/defining-the-role-of-authors-and-contributor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C215ADFB-71C9-4C84-982D-04DA31057550}">
    <t:Anchor>
      <t:Comment id="735036840"/>
    </t:Anchor>
    <t:History>
      <t:Event id="{8D8BCA59-C52E-4013-BD46-1E0A7E66ED23}" time="2021-04-08T01:51:04.517Z">
        <t:Attribution userId="S::gordcy@austin.org.au::afca99a9-5107-402d-8646-3dfc3fd338f5" userProvider="AD" userName="GORDON, Claire"/>
        <t:Anchor>
          <t:Comment id="1126631723"/>
        </t:Anchor>
        <t:Create/>
      </t:Event>
      <t:Event id="{7AE1826C-7126-4B2B-A228-D6104C2D3383}" time="2021-04-08T01:51:04.517Z">
        <t:Attribution userId="S::gordcy@austin.org.au::afca99a9-5107-402d-8646-3dfc3fd338f5" userProvider="AD" userName="GORDON, Claire"/>
        <t:Anchor>
          <t:Comment id="1126631723"/>
        </t:Anchor>
        <t:Assign userId="S::DAVIL1@austin.org.au::4929fcc5-ea29-4dbd-95ed-d346dcdb7e20" userProvider="AD" userName="DAVIS, Lisa"/>
      </t:Event>
      <t:Event id="{B0078FC3-4A27-4165-BBC7-3A60457BDDDC}" time="2021-04-08T01:51:04.517Z">
        <t:Attribution userId="S::gordcy@austin.org.au::afca99a9-5107-402d-8646-3dfc3fd338f5" userProvider="AD" userName="GORDON, Claire"/>
        <t:Anchor>
          <t:Comment id="1126631723"/>
        </t:Anchor>
        <t:SetTitle title="@DAVIS, Lisa that is corre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514C9DC592846AF47B3A30EAFF4AA" ma:contentTypeVersion="18" ma:contentTypeDescription="Create a new document." ma:contentTypeScope="" ma:versionID="3e41db2307f3903335be96334bdad729">
  <xsd:schema xmlns:xsd="http://www.w3.org/2001/XMLSchema" xmlns:xs="http://www.w3.org/2001/XMLSchema" xmlns:p="http://schemas.microsoft.com/office/2006/metadata/properties" xmlns:ns2="dbb56857-f952-40b6-a735-3ced966b812e" xmlns:ns3="6594a25f-812b-4c7c-8cfa-d46b7f812d41" targetNamespace="http://schemas.microsoft.com/office/2006/metadata/properties" ma:root="true" ma:fieldsID="049d1fdb407cf185f4e45715021713cf" ns2:_="" ns3:_="">
    <xsd:import namespace="dbb56857-f952-40b6-a735-3ced966b812e"/>
    <xsd:import namespace="6594a25f-812b-4c7c-8cfa-d46b7f812d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56857-f952-40b6-a735-3ced966b8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d80994-4b2d-4dea-bec9-c276b32ddbc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4a25f-812b-4c7c-8cfa-d46b7f812d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241029-2adc-46df-9ad4-34606b53ec5a}" ma:internalName="TaxCatchAll" ma:showField="CatchAllData" ma:web="6594a25f-812b-4c7c-8cfa-d46b7f812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TaxCatchAll xmlns="6594a25f-812b-4c7c-8cfa-d46b7f812d41" xsi:nil="true"/>
    <lcf76f155ced4ddcb4097134ff3c332f xmlns="dbb56857-f952-40b6-a735-3ced966b812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BE238-CE1B-4353-B4C3-69EDF19F1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56857-f952-40b6-a735-3ced966b812e"/>
    <ds:schemaRef ds:uri="6594a25f-812b-4c7c-8cfa-d46b7f812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86F4D-F88C-4FA7-928B-C311FE5753FB}">
  <ds:schemaRefs>
    <ds:schemaRef ds:uri="http://schemas.openxmlformats.org/officeDocument/2006/bibliography"/>
  </ds:schemaRefs>
</ds:datastoreItem>
</file>

<file path=customXml/itemProps3.xml><?xml version="1.0" encoding="utf-8"?>
<ds:datastoreItem xmlns:ds="http://schemas.openxmlformats.org/officeDocument/2006/customXml" ds:itemID="{18402C4B-CA8B-4BEE-9331-E47F459C71F9}">
  <ds:schemaRefs>
    <ds:schemaRef ds:uri="http://schemas.microsoft.com/office/2006/metadata/properties"/>
    <ds:schemaRef ds:uri="http://schemas.microsoft.com/office/infopath/2007/PartnerControls"/>
    <ds:schemaRef ds:uri="6594a25f-812b-4c7c-8cfa-d46b7f812d41"/>
    <ds:schemaRef ds:uri="dbb56857-f952-40b6-a735-3ced966b812e"/>
  </ds:schemaRefs>
</ds:datastoreItem>
</file>

<file path=customXml/itemProps4.xml><?xml version="1.0" encoding="utf-8"?>
<ds:datastoreItem xmlns:ds="http://schemas.openxmlformats.org/officeDocument/2006/customXml" ds:itemID="{6B7CDA40-4B76-4B77-A524-803DA89A6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2527</Words>
  <Characters>14404</Characters>
  <Application>Microsoft Office Word</Application>
  <DocSecurity>0</DocSecurity>
  <Lines>120</Lines>
  <Paragraphs>33</Paragraphs>
  <ScaleCrop>false</ScaleCrop>
  <Company>Austin Health</Company>
  <LinksUpToDate>false</LinksUpToDate>
  <CharactersWithSpaces>16898</CharactersWithSpaces>
  <SharedDoc>false</SharedDoc>
  <HLinks>
    <vt:vector size="84" baseType="variant">
      <vt:variant>
        <vt:i4>3211333</vt:i4>
      </vt:variant>
      <vt:variant>
        <vt:i4>81</vt:i4>
      </vt:variant>
      <vt:variant>
        <vt:i4>0</vt:i4>
      </vt:variant>
      <vt:variant>
        <vt:i4>5</vt:i4>
      </vt:variant>
      <vt:variant>
        <vt:lpwstr>mailto:adtb@austin.org.au</vt:lpwstr>
      </vt:variant>
      <vt:variant>
        <vt:lpwstr/>
      </vt:variant>
      <vt:variant>
        <vt:i4>3211333</vt:i4>
      </vt:variant>
      <vt:variant>
        <vt:i4>78</vt:i4>
      </vt:variant>
      <vt:variant>
        <vt:i4>0</vt:i4>
      </vt:variant>
      <vt:variant>
        <vt:i4>5</vt:i4>
      </vt:variant>
      <vt:variant>
        <vt:lpwstr>mailto:adtb@austin.org.au</vt:lpwstr>
      </vt:variant>
      <vt:variant>
        <vt:lpwstr/>
      </vt:variant>
      <vt:variant>
        <vt:i4>3145788</vt:i4>
      </vt:variant>
      <vt:variant>
        <vt:i4>69</vt:i4>
      </vt:variant>
      <vt:variant>
        <vt:i4>0</vt:i4>
      </vt:variant>
      <vt:variant>
        <vt:i4>5</vt:i4>
      </vt:variant>
      <vt:variant>
        <vt:lpwstr>https://www.icmje.org/recommendations/browse/roles-and-responsibilities/defining-the-role-of-authors-and-contributors.html</vt:lpwstr>
      </vt:variant>
      <vt:variant>
        <vt:lpwstr/>
      </vt:variant>
      <vt:variant>
        <vt:i4>1048629</vt:i4>
      </vt:variant>
      <vt:variant>
        <vt:i4>59</vt:i4>
      </vt:variant>
      <vt:variant>
        <vt:i4>0</vt:i4>
      </vt:variant>
      <vt:variant>
        <vt:i4>5</vt:i4>
      </vt:variant>
      <vt:variant>
        <vt:lpwstr/>
      </vt:variant>
      <vt:variant>
        <vt:lpwstr>_Toc195106195</vt:lpwstr>
      </vt:variant>
      <vt:variant>
        <vt:i4>1048629</vt:i4>
      </vt:variant>
      <vt:variant>
        <vt:i4>53</vt:i4>
      </vt:variant>
      <vt:variant>
        <vt:i4>0</vt:i4>
      </vt:variant>
      <vt:variant>
        <vt:i4>5</vt:i4>
      </vt:variant>
      <vt:variant>
        <vt:lpwstr/>
      </vt:variant>
      <vt:variant>
        <vt:lpwstr>_Toc195106194</vt:lpwstr>
      </vt:variant>
      <vt:variant>
        <vt:i4>1048629</vt:i4>
      </vt:variant>
      <vt:variant>
        <vt:i4>47</vt:i4>
      </vt:variant>
      <vt:variant>
        <vt:i4>0</vt:i4>
      </vt:variant>
      <vt:variant>
        <vt:i4>5</vt:i4>
      </vt:variant>
      <vt:variant>
        <vt:lpwstr/>
      </vt:variant>
      <vt:variant>
        <vt:lpwstr>_Toc195106193</vt:lpwstr>
      </vt:variant>
      <vt:variant>
        <vt:i4>1048629</vt:i4>
      </vt:variant>
      <vt:variant>
        <vt:i4>41</vt:i4>
      </vt:variant>
      <vt:variant>
        <vt:i4>0</vt:i4>
      </vt:variant>
      <vt:variant>
        <vt:i4>5</vt:i4>
      </vt:variant>
      <vt:variant>
        <vt:lpwstr/>
      </vt:variant>
      <vt:variant>
        <vt:lpwstr>_Toc195106192</vt:lpwstr>
      </vt:variant>
      <vt:variant>
        <vt:i4>1048629</vt:i4>
      </vt:variant>
      <vt:variant>
        <vt:i4>35</vt:i4>
      </vt:variant>
      <vt:variant>
        <vt:i4>0</vt:i4>
      </vt:variant>
      <vt:variant>
        <vt:i4>5</vt:i4>
      </vt:variant>
      <vt:variant>
        <vt:lpwstr/>
      </vt:variant>
      <vt:variant>
        <vt:lpwstr>_Toc195106191</vt:lpwstr>
      </vt:variant>
      <vt:variant>
        <vt:i4>1048629</vt:i4>
      </vt:variant>
      <vt:variant>
        <vt:i4>29</vt:i4>
      </vt:variant>
      <vt:variant>
        <vt:i4>0</vt:i4>
      </vt:variant>
      <vt:variant>
        <vt:i4>5</vt:i4>
      </vt:variant>
      <vt:variant>
        <vt:lpwstr/>
      </vt:variant>
      <vt:variant>
        <vt:lpwstr>_Toc195106190</vt:lpwstr>
      </vt:variant>
      <vt:variant>
        <vt:i4>1114165</vt:i4>
      </vt:variant>
      <vt:variant>
        <vt:i4>23</vt:i4>
      </vt:variant>
      <vt:variant>
        <vt:i4>0</vt:i4>
      </vt:variant>
      <vt:variant>
        <vt:i4>5</vt:i4>
      </vt:variant>
      <vt:variant>
        <vt:lpwstr/>
      </vt:variant>
      <vt:variant>
        <vt:lpwstr>_Toc195106189</vt:lpwstr>
      </vt:variant>
      <vt:variant>
        <vt:i4>1114165</vt:i4>
      </vt:variant>
      <vt:variant>
        <vt:i4>17</vt:i4>
      </vt:variant>
      <vt:variant>
        <vt:i4>0</vt:i4>
      </vt:variant>
      <vt:variant>
        <vt:i4>5</vt:i4>
      </vt:variant>
      <vt:variant>
        <vt:lpwstr/>
      </vt:variant>
      <vt:variant>
        <vt:lpwstr>_Toc195106180</vt:lpwstr>
      </vt:variant>
      <vt:variant>
        <vt:i4>1966133</vt:i4>
      </vt:variant>
      <vt:variant>
        <vt:i4>11</vt:i4>
      </vt:variant>
      <vt:variant>
        <vt:i4>0</vt:i4>
      </vt:variant>
      <vt:variant>
        <vt:i4>5</vt:i4>
      </vt:variant>
      <vt:variant>
        <vt:lpwstr/>
      </vt:variant>
      <vt:variant>
        <vt:lpwstr>_Toc195106179</vt:lpwstr>
      </vt:variant>
      <vt:variant>
        <vt:i4>1966133</vt:i4>
      </vt:variant>
      <vt:variant>
        <vt:i4>5</vt:i4>
      </vt:variant>
      <vt:variant>
        <vt:i4>0</vt:i4>
      </vt:variant>
      <vt:variant>
        <vt:i4>5</vt:i4>
      </vt:variant>
      <vt:variant>
        <vt:lpwstr/>
      </vt:variant>
      <vt:variant>
        <vt:lpwstr>_Toc195106178</vt:lpwstr>
      </vt:variant>
      <vt:variant>
        <vt:i4>3211333</vt:i4>
      </vt:variant>
      <vt:variant>
        <vt:i4>0</vt:i4>
      </vt:variant>
      <vt:variant>
        <vt:i4>0</vt:i4>
      </vt:variant>
      <vt:variant>
        <vt:i4>5</vt:i4>
      </vt:variant>
      <vt:variant>
        <vt:lpwstr>mailto:adtb@austin.org.au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Claire</dc:creator>
  <cp:keywords/>
  <dc:description/>
  <cp:lastModifiedBy>LIM, Cindy</cp:lastModifiedBy>
  <cp:revision>219</cp:revision>
  <dcterms:created xsi:type="dcterms:W3CDTF">2022-04-10T23:34:00Z</dcterms:created>
  <dcterms:modified xsi:type="dcterms:W3CDTF">2026-03-23T03:05:00Z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0x01010095E514C9DC592846AF47B3A30EAFF4AA</vt:lpwstr>
  </property>
  <property fmtid="{D5CDD505-2E9C-101B-9397-08002B2CF9AE}" pid="3" name="MediaServiceImageTags">
    <vt:lpwstr/>
  </property>
  <property fmtid="{D5CDD505-2E9C-101B-9397-08002B2CF9AE}" pid="4" name="docLang">
    <vt:lpwstr>en</vt:lpwstr>
  </property>
</Properties>
</file>